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numPr>
          <w:ilvl w:val="0"/>
          <w:numId w:val="0"/>
        </w:numPr>
        <w:ind w:left="0" w:hanging="0"/>
        <w:jc w:val="center"/>
        <w:outlineLvl w:val="0"/>
        <w:rPr>
          <w:rFonts w:ascii="Times New Roman" w:hAnsi="Times New Roman" w:cs="Times New Roman"/>
          <w:sz w:val="48"/>
          <w:szCs w:val="48"/>
        </w:rPr>
      </w:pPr>
      <w:bookmarkStart w:id="0" w:name="_GoBack"/>
      <w:bookmarkEnd w:id="0"/>
      <w:r>
        <w:rPr>
          <w:rFonts w:cs="Times New Roman" w:ascii="Times New Roman" w:hAnsi="Times New Roman"/>
          <w:sz w:val="48"/>
          <w:szCs w:val="48"/>
        </w:rPr>
        <w:t>НОВОЗЫБКОВСКАЯ</w:t>
      </w:r>
    </w:p>
    <w:p>
      <w:pPr>
        <w:pStyle w:val="Normal"/>
        <w:numPr>
          <w:ilvl w:val="0"/>
          <w:numId w:val="0"/>
        </w:numPr>
        <w:ind w:left="0" w:hanging="0"/>
        <w:jc w:val="center"/>
        <w:outlineLvl w:val="0"/>
        <w:rPr>
          <w:rFonts w:ascii="Times New Roman" w:hAnsi="Times New Roman" w:cs="Times New Roman"/>
          <w:sz w:val="48"/>
          <w:szCs w:val="48"/>
        </w:rPr>
      </w:pPr>
      <w:r>
        <w:rPr>
          <w:rFonts w:cs="Times New Roman" w:ascii="Times New Roman" w:hAnsi="Times New Roman"/>
          <w:sz w:val="48"/>
          <w:szCs w:val="48"/>
        </w:rPr>
        <w:t>ГОРОДСКАЯ АДМИНИСТРАЦИЯ</w:t>
      </w:r>
    </w:p>
    <w:p>
      <w:pPr>
        <w:pStyle w:val="Normal"/>
        <w:numPr>
          <w:ilvl w:val="0"/>
          <w:numId w:val="0"/>
        </w:numPr>
        <w:ind w:left="0" w:hanging="0"/>
        <w:jc w:val="center"/>
        <w:outlineLvl w:val="0"/>
        <w:rPr>
          <w:rFonts w:ascii="Times New Roman" w:hAnsi="Times New Roman" w:cs="Times New Roman"/>
          <w:sz w:val="48"/>
          <w:szCs w:val="48"/>
        </w:rPr>
      </w:pPr>
      <w:r>
        <w:rPr>
          <w:rFonts w:cs="Times New Roman" w:ascii="Times New Roman" w:hAnsi="Times New Roman"/>
          <w:sz w:val="48"/>
          <w:szCs w:val="48"/>
        </w:rPr>
      </w:r>
    </w:p>
    <w:p>
      <w:pPr>
        <w:pStyle w:val="Normal"/>
        <w:numPr>
          <w:ilvl w:val="0"/>
          <w:numId w:val="0"/>
        </w:numPr>
        <w:ind w:left="0" w:hanging="0"/>
        <w:jc w:val="center"/>
        <w:outlineLvl w:val="0"/>
        <w:rPr>
          <w:rFonts w:ascii="Times New Roman" w:hAnsi="Times New Roman" w:cs="Times New Roman"/>
          <w:sz w:val="48"/>
          <w:szCs w:val="48"/>
        </w:rPr>
      </w:pPr>
      <w:r>
        <w:rPr>
          <w:rFonts w:cs="Times New Roman" w:ascii="Times New Roman" w:hAnsi="Times New Roman"/>
          <w:sz w:val="48"/>
          <w:szCs w:val="48"/>
        </w:rPr>
      </w:r>
    </w:p>
    <w:p>
      <w:pPr>
        <w:pStyle w:val="Normal"/>
        <w:numPr>
          <w:ilvl w:val="0"/>
          <w:numId w:val="0"/>
        </w:numPr>
        <w:ind w:left="0" w:hanging="0"/>
        <w:jc w:val="right"/>
        <w:outlineLvl w:val="0"/>
        <w:rPr>
          <w:rFonts w:ascii="Times New Roman" w:hAnsi="Times New Roman" w:cs="Times New Roman"/>
          <w:sz w:val="48"/>
          <w:szCs w:val="48"/>
        </w:rPr>
      </w:pPr>
      <w:r>
        <w:rPr>
          <w:rFonts w:cs="Times New Roman" w:ascii="Times New Roman" w:hAnsi="Times New Roman"/>
          <w:sz w:val="48"/>
          <w:szCs w:val="48"/>
        </w:rPr>
        <w:t>проект</w:t>
      </w:r>
    </w:p>
    <w:p>
      <w:pPr>
        <w:pStyle w:val="Normal"/>
        <w:numPr>
          <w:ilvl w:val="0"/>
          <w:numId w:val="0"/>
        </w:numPr>
        <w:ind w:left="0" w:hanging="0"/>
        <w:jc w:val="center"/>
        <w:outlineLvl w:val="0"/>
        <w:rPr>
          <w:rFonts w:ascii="Times New Roman" w:hAnsi="Times New Roman" w:cs="Times New Roman"/>
          <w:sz w:val="44"/>
          <w:szCs w:val="44"/>
        </w:rPr>
      </w:pPr>
      <w:r>
        <w:rPr>
          <w:rFonts w:cs="Times New Roman" w:ascii="Times New Roman" w:hAnsi="Times New Roman"/>
          <w:sz w:val="44"/>
          <w:szCs w:val="44"/>
        </w:rPr>
      </w:r>
    </w:p>
    <w:p>
      <w:pPr>
        <w:pStyle w:val="Normal"/>
        <w:numPr>
          <w:ilvl w:val="0"/>
          <w:numId w:val="0"/>
        </w:numPr>
        <w:ind w:left="0" w:hanging="0"/>
        <w:jc w:val="center"/>
        <w:outlineLvl w:val="0"/>
        <w:rPr>
          <w:rFonts w:ascii="Times New Roman" w:hAnsi="Times New Roman" w:cs="Times New Roman"/>
          <w:sz w:val="44"/>
          <w:szCs w:val="44"/>
        </w:rPr>
      </w:pPr>
      <w:r>
        <w:rPr>
          <w:rFonts w:cs="Times New Roman" w:ascii="Times New Roman" w:hAnsi="Times New Roman"/>
          <w:sz w:val="44"/>
          <w:szCs w:val="44"/>
        </w:rPr>
      </w:r>
    </w:p>
    <w:p>
      <w:pPr>
        <w:pStyle w:val="Normal"/>
        <w:numPr>
          <w:ilvl w:val="0"/>
          <w:numId w:val="0"/>
        </w:numPr>
        <w:ind w:left="0" w:hanging="0"/>
        <w:jc w:val="center"/>
        <w:outlineLvl w:val="0"/>
        <w:rPr>
          <w:rFonts w:ascii="Times New Roman" w:hAnsi="Times New Roman" w:cs="Times New Roman"/>
          <w:sz w:val="44"/>
          <w:szCs w:val="44"/>
        </w:rPr>
      </w:pPr>
      <w:r>
        <w:rPr>
          <w:rFonts w:cs="Times New Roman" w:ascii="Times New Roman" w:hAnsi="Times New Roman"/>
          <w:sz w:val="44"/>
          <w:szCs w:val="44"/>
        </w:rPr>
        <w:t>ПОСТАНОВЛЕНИЕ</w:t>
      </w:r>
    </w:p>
    <w:p>
      <w:pPr>
        <w:pStyle w:val="Normal"/>
        <w:numPr>
          <w:ilvl w:val="0"/>
          <w:numId w:val="0"/>
        </w:numPr>
        <w:ind w:left="0" w:hanging="0"/>
        <w:outlineLvl w:val="0"/>
        <w:rPr/>
      </w:pPr>
      <w:r>
        <w:rPr/>
      </w:r>
    </w:p>
    <w:p>
      <w:pPr>
        <w:pStyle w:val="Normal"/>
        <w:numPr>
          <w:ilvl w:val="0"/>
          <w:numId w:val="0"/>
        </w:numPr>
        <w:ind w:left="0" w:hanging="0"/>
        <w:outlineLvl w:val="0"/>
        <w:rPr>
          <w:rFonts w:ascii="Times New Roman" w:hAnsi="Times New Roman" w:cs="Times New Roman"/>
          <w:sz w:val="28"/>
          <w:szCs w:val="28"/>
        </w:rPr>
      </w:pPr>
      <w:r>
        <w:rPr>
          <w:rFonts w:cs="Times New Roman" w:ascii="Times New Roman" w:hAnsi="Times New Roman"/>
          <w:sz w:val="28"/>
          <w:szCs w:val="28"/>
        </w:rPr>
      </w:r>
      <w:bookmarkStart w:id="1" w:name="_GoBack_Копия_1"/>
      <w:bookmarkStart w:id="2" w:name="_GoBack_Копия_1"/>
      <w:bookmarkEnd w:id="2"/>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t xml:space="preserve">Об    утверждении   Программы                                                                  профилактики рисков причинения                                                                                вреда (ущерба) охраняемым  законом                                                                         ценностям по муниципальному </w:t>
      </w:r>
    </w:p>
    <w:p>
      <w:pPr>
        <w:pStyle w:val="Normal"/>
        <w:spacing w:lineRule="auto" w:line="240" w:before="0" w:after="0"/>
        <w:rPr>
          <w:rFonts w:ascii="Times New Roman" w:hAnsi="Times New Roman" w:cs="Times New Roman"/>
          <w:sz w:val="28"/>
          <w:szCs w:val="24"/>
        </w:rPr>
      </w:pPr>
      <w:r>
        <w:rPr>
          <w:rFonts w:cs="Times New Roman" w:ascii="Times New Roman" w:hAnsi="Times New Roman"/>
          <w:sz w:val="28"/>
          <w:szCs w:val="28"/>
        </w:rPr>
        <w:t xml:space="preserve">контролю   </w:t>
      </w:r>
      <w:r>
        <w:rPr>
          <w:rFonts w:cs="Times New Roman" w:ascii="Times New Roman" w:hAnsi="Times New Roman"/>
          <w:sz w:val="28"/>
          <w:szCs w:val="24"/>
        </w:rPr>
        <w:t>на    автомобильном                                                                     транспорте,</w:t>
      </w:r>
      <w:r>
        <w:rPr/>
        <w:t xml:space="preserve">  </w:t>
      </w:r>
      <w:r>
        <w:rPr>
          <w:rFonts w:cs="Times New Roman" w:ascii="Times New Roman" w:hAnsi="Times New Roman"/>
          <w:sz w:val="28"/>
          <w:szCs w:val="24"/>
        </w:rPr>
        <w:t xml:space="preserve">городском наземном                                                              электрическом транспорте  и  в                                                                                     дорожном     хозяйстве  в границах                   </w:t>
        <w:tab/>
        <w:tab/>
        <w:t xml:space="preserve">                          Новозыбковского городского округа </w:t>
        <w:tab/>
        <w:tab/>
        <w:tab/>
        <w:tab/>
        <w:t xml:space="preserve">                             Брянской области на </w:t>
      </w:r>
      <w:r>
        <w:rPr>
          <w:rFonts w:cs="Times New Roman" w:ascii="Times New Roman" w:hAnsi="Times New Roman"/>
          <w:bCs/>
          <w:sz w:val="28"/>
          <w:szCs w:val="28"/>
        </w:rPr>
        <w:t>2025 год</w:t>
      </w:r>
    </w:p>
    <w:p>
      <w:pPr>
        <w:pStyle w:val="Normal"/>
        <w:spacing w:lineRule="auto" w:line="240" w:before="0" w:after="0"/>
        <w:rPr>
          <w:rFonts w:ascii="Times New Roman" w:hAnsi="Times New Roman" w:cs="Times New Roman"/>
          <w:bCs/>
          <w:sz w:val="28"/>
          <w:szCs w:val="28"/>
        </w:rPr>
      </w:pPr>
      <w:r>
        <w:rPr>
          <w:rFonts w:cs="Times New Roman" w:ascii="Times New Roman" w:hAnsi="Times New Roman"/>
          <w:bCs/>
          <w:sz w:val="28"/>
          <w:szCs w:val="28"/>
        </w:rPr>
      </w:r>
    </w:p>
    <w:p>
      <w:pPr>
        <w:pStyle w:val="Normal"/>
        <w:spacing w:lineRule="atLeast" w:line="173"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r>
    </w:p>
    <w:p>
      <w:pPr>
        <w:pStyle w:val="Normal"/>
        <w:widowControl w:val="false"/>
        <w:shd w:val="clear" w:color="auto" w:fill="FFFFFF"/>
        <w:spacing w:lineRule="auto" w:line="240"/>
        <w:ind w:firstLine="709"/>
        <w:jc w:val="both"/>
        <w:rPr>
          <w:rFonts w:ascii="Times New Roman" w:hAnsi="Times New Roman" w:cs="Times New Roman"/>
          <w:sz w:val="28"/>
          <w:szCs w:val="28"/>
        </w:rPr>
      </w:pPr>
      <w:r>
        <w:rPr>
          <w:rFonts w:cs="Times New Roman" w:ascii="Times New Roman" w:hAnsi="Times New Roman"/>
          <w:color w:val="000000"/>
          <w:sz w:val="28"/>
          <w:szCs w:val="28"/>
        </w:rPr>
        <w:t>В соответствии с</w:t>
      </w:r>
      <w:r>
        <w:rPr>
          <w:rFonts w:cs="Times New Roman" w:ascii="Times New Roman" w:hAnsi="Times New Roman"/>
          <w:b/>
          <w:color w:val="000000"/>
          <w:sz w:val="28"/>
          <w:szCs w:val="28"/>
        </w:rPr>
        <w:t xml:space="preserve"> </w:t>
      </w:r>
      <w:r>
        <w:rPr>
          <w:rFonts w:cs="Times New Roman" w:ascii="Times New Roman" w:hAnsi="Times New Roman"/>
          <w:sz w:val="28"/>
          <w:szCs w:val="28"/>
        </w:rPr>
        <w:t xml:space="preserve">Федеральным законом от 31.07.2020 № 248-ФЗ «О государственном контроле (надзоре) и муниципальном контроле в Российской Федерации»,  на основании постановления Правительства РФ от 25.06.2021г.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руководствуясь Уставом муниципального образования «Новозыбковский городской округ Брянской области» </w:t>
      </w:r>
    </w:p>
    <w:p>
      <w:pPr>
        <w:pStyle w:val="Normal"/>
        <w:spacing w:lineRule="atLeast" w:line="173"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r>
    </w:p>
    <w:p>
      <w:pPr>
        <w:pStyle w:val="Normal"/>
        <w:spacing w:lineRule="auto" w:line="240" w:before="0" w:after="0"/>
        <w:jc w:val="both"/>
        <w:rPr>
          <w:rFonts w:ascii="Times New Roman" w:hAnsi="Times New Roman" w:eastAsia="Times New Roman" w:cs="Times New Roman"/>
          <w:b/>
          <w:bCs/>
          <w:color w:val="242424"/>
          <w:sz w:val="28"/>
          <w:szCs w:val="28"/>
          <w:lang w:eastAsia="ru-RU"/>
        </w:rPr>
      </w:pPr>
      <w:r>
        <w:rPr>
          <w:rFonts w:eastAsia="Times New Roman" w:cs="Times New Roman" w:ascii="Times New Roman" w:hAnsi="Times New Roman"/>
          <w:b/>
          <w:bCs/>
          <w:color w:val="242424"/>
          <w:sz w:val="28"/>
          <w:szCs w:val="28"/>
          <w:lang w:eastAsia="ru-RU"/>
        </w:rPr>
        <w:t>ПОСТАНОВЛЯЮ:</w:t>
      </w:r>
    </w:p>
    <w:p>
      <w:pPr>
        <w:pStyle w:val="Normal"/>
        <w:spacing w:lineRule="auto" w:line="240"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r>
    </w:p>
    <w:p>
      <w:pPr>
        <w:pStyle w:val="Normal"/>
        <w:spacing w:lineRule="auto" w:line="240" w:before="0" w:after="0"/>
        <w:ind w:firstLine="709"/>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t>1.  Утвердить программу профилактики рисков причинения вреда (ущерба) охраняемым законом ценностям по муниципальному контролю на автомобильном транспорте, городском наземном электрическом транспорте и в дорожном хозяйстве в границах Новозыбковского городского округа Брянской области на 2025 год согласно Приложения №1 к данному постановлению.</w:t>
      </w:r>
    </w:p>
    <w:p>
      <w:pPr>
        <w:pStyle w:val="Normal"/>
        <w:tabs>
          <w:tab w:val="clear" w:pos="708"/>
          <w:tab w:val="left" w:pos="993" w:leader="none"/>
        </w:tabs>
        <w:spacing w:lineRule="auto" w:line="240" w:before="0" w:after="0"/>
        <w:ind w:firstLine="709"/>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t>2.  Установить, что Перечень контролируемых лиц,  в отношении которых проводятся профилактические визиты в 2025 году, определяется приложением № 2 к настоящему постановлению.  Перечень подлежит дополнению по мере поступления заявлений от контролируемых лиц о проведении в отношении них профилактических визитов, а также обновлению и размещению на официальном сайте Новозыбковской городской администрации в информационно-телекоммуникационной сети «Интернет».</w:t>
      </w:r>
    </w:p>
    <w:p>
      <w:pPr>
        <w:pStyle w:val="Normal"/>
        <w:tabs>
          <w:tab w:val="clear" w:pos="708"/>
          <w:tab w:val="left" w:pos="993" w:leader="none"/>
        </w:tabs>
        <w:spacing w:lineRule="auto" w:line="240" w:before="0" w:after="0"/>
        <w:ind w:firstLine="709"/>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t>3. Опубликовать настоящее постановление на официальном сайте Новозыбковской городской администрации.</w:t>
      </w:r>
    </w:p>
    <w:p>
      <w:pPr>
        <w:pStyle w:val="Normal"/>
        <w:spacing w:lineRule="auto" w:line="240" w:before="0" w:after="0"/>
        <w:ind w:firstLine="709"/>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t>4.   Настоящее постановление вступает в силу с 01.01.2025 года.</w:t>
      </w:r>
    </w:p>
    <w:p>
      <w:pPr>
        <w:pStyle w:val="Normal"/>
        <w:spacing w:lineRule="auto" w:line="240" w:before="0" w:after="0"/>
        <w:ind w:firstLine="709"/>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t>5.  Контроль за исполнением постановления возложить на заместителя главы Новозыбковской городской администрации Рожкова А.Л.</w:t>
      </w:r>
    </w:p>
    <w:p>
      <w:pPr>
        <w:pStyle w:val="Normal"/>
        <w:spacing w:lineRule="auto" w:line="240"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r>
    </w:p>
    <w:p>
      <w:pPr>
        <w:pStyle w:val="Normal"/>
        <w:spacing w:lineRule="auto" w:line="240"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r>
    </w:p>
    <w:p>
      <w:pPr>
        <w:pStyle w:val="Normal"/>
        <w:spacing w:lineRule="auto" w:line="240"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t xml:space="preserve">Глава Новозыбковской                                                                  </w:t>
      </w:r>
    </w:p>
    <w:p>
      <w:pPr>
        <w:pStyle w:val="Normal"/>
        <w:spacing w:lineRule="auto" w:line="240"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t>городской администрации                                                                         А.Г. Грек</w:t>
      </w:r>
    </w:p>
    <w:p>
      <w:pPr>
        <w:pStyle w:val="Normal"/>
        <w:widowControl w:val="false"/>
        <w:spacing w:lineRule="auto" w:line="240" w:before="0" w:after="0"/>
        <w:ind w:right="-26" w:hanging="0"/>
        <w:rPr>
          <w:rFonts w:ascii="Times New Roman" w:hAnsi="Times New Roman" w:eastAsia="Times New Roman" w:cs="Times New Roman"/>
          <w:szCs w:val="28"/>
        </w:rPr>
      </w:pPr>
      <w:r>
        <w:rPr>
          <w:rFonts w:eastAsia="Times New Roman" w:cs="Times New Roman" w:ascii="Times New Roman" w:hAnsi="Times New Roman"/>
          <w:szCs w:val="28"/>
        </w:rPr>
      </w:r>
    </w:p>
    <w:p>
      <w:pPr>
        <w:pStyle w:val="Normal"/>
        <w:widowControl w:val="false"/>
        <w:spacing w:lineRule="auto" w:line="240" w:before="0" w:after="0"/>
        <w:ind w:right="-26" w:hanging="0"/>
        <w:rPr>
          <w:rFonts w:ascii="Times New Roman" w:hAnsi="Times New Roman" w:eastAsia="Times New Roman" w:cs="Times New Roman"/>
          <w:szCs w:val="28"/>
        </w:rPr>
      </w:pPr>
      <w:r>
        <w:rPr>
          <w:rFonts w:eastAsia="Times New Roman" w:cs="Times New Roman" w:ascii="Times New Roman" w:hAnsi="Times New Roman"/>
          <w:szCs w:val="28"/>
        </w:rPr>
        <w:t>Ковалева Н.В.</w:t>
      </w:r>
    </w:p>
    <w:p>
      <w:pPr>
        <w:pStyle w:val="Normal"/>
        <w:widowControl w:val="false"/>
        <w:spacing w:lineRule="auto" w:line="240" w:before="0" w:after="0"/>
        <w:ind w:right="-26" w:hanging="0"/>
        <w:rPr>
          <w:rFonts w:ascii="Times New Roman" w:hAnsi="Times New Roman" w:eastAsia="Times New Roman" w:cs="Times New Roman"/>
          <w:szCs w:val="28"/>
        </w:rPr>
      </w:pPr>
      <w:r>
        <w:rPr>
          <w:rFonts w:eastAsia="Times New Roman" w:cs="Times New Roman" w:ascii="Times New Roman" w:hAnsi="Times New Roman"/>
          <w:szCs w:val="28"/>
        </w:rPr>
        <w:t xml:space="preserve">5-37-36  </w:t>
      </w:r>
    </w:p>
    <w:p>
      <w:pPr>
        <w:pStyle w:val="Normal"/>
        <w:widowControl w:val="false"/>
        <w:spacing w:lineRule="auto" w:line="240" w:before="0" w:after="0"/>
        <w:ind w:right="-26" w:hanging="0"/>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240"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r>
    </w:p>
    <w:p>
      <w:pPr>
        <w:pStyle w:val="Normal"/>
        <w:spacing w:lineRule="auto" w:line="240"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r>
    </w:p>
    <w:p>
      <w:pPr>
        <w:pStyle w:val="Normal"/>
        <w:spacing w:lineRule="auto" w:line="240"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r>
    </w:p>
    <w:p>
      <w:pPr>
        <w:pStyle w:val="Normal"/>
        <w:spacing w:lineRule="auto" w:line="240"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r>
    </w:p>
    <w:p>
      <w:pPr>
        <w:pStyle w:val="Normal"/>
        <w:spacing w:lineRule="auto" w:line="240"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r>
    </w:p>
    <w:p>
      <w:pPr>
        <w:pStyle w:val="Normal"/>
        <w:spacing w:lineRule="auto" w:line="240"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r>
    </w:p>
    <w:p>
      <w:pPr>
        <w:pStyle w:val="Normal"/>
        <w:spacing w:lineRule="auto" w:line="240"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r>
    </w:p>
    <w:p>
      <w:pPr>
        <w:pStyle w:val="Normal"/>
        <w:spacing w:lineRule="auto" w:line="240"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r>
    </w:p>
    <w:p>
      <w:pPr>
        <w:pStyle w:val="Normal"/>
        <w:spacing w:lineRule="auto" w:line="240"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r>
    </w:p>
    <w:p>
      <w:pPr>
        <w:pStyle w:val="Normal"/>
        <w:spacing w:lineRule="auto" w:line="240"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r>
    </w:p>
    <w:p>
      <w:pPr>
        <w:pStyle w:val="Normal"/>
        <w:spacing w:lineRule="auto" w:line="240"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r>
    </w:p>
    <w:p>
      <w:pPr>
        <w:pStyle w:val="Normal"/>
        <w:spacing w:lineRule="auto" w:line="240"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r>
    </w:p>
    <w:p>
      <w:pPr>
        <w:pStyle w:val="Normal"/>
        <w:spacing w:lineRule="auto" w:line="240"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r>
    </w:p>
    <w:p>
      <w:pPr>
        <w:pStyle w:val="Normal"/>
        <w:spacing w:lineRule="auto" w:line="240"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r>
    </w:p>
    <w:p>
      <w:pPr>
        <w:pStyle w:val="Normal"/>
        <w:spacing w:lineRule="auto" w:line="240"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r>
    </w:p>
    <w:p>
      <w:pPr>
        <w:pStyle w:val="Normal"/>
        <w:spacing w:lineRule="auto" w:line="240"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r>
    </w:p>
    <w:p>
      <w:pPr>
        <w:pStyle w:val="Normal"/>
        <w:spacing w:lineRule="auto" w:line="240"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r>
    </w:p>
    <w:p>
      <w:pPr>
        <w:pStyle w:val="Normal"/>
        <w:spacing w:lineRule="auto" w:line="240"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r>
    </w:p>
    <w:p>
      <w:pPr>
        <w:pStyle w:val="Normal"/>
        <w:spacing w:lineRule="auto" w:line="240"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r>
    </w:p>
    <w:p>
      <w:pPr>
        <w:pStyle w:val="Normal"/>
        <w:spacing w:lineRule="auto" w:line="240"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r>
    </w:p>
    <w:p>
      <w:pPr>
        <w:pStyle w:val="Normal"/>
        <w:spacing w:lineRule="auto" w:line="240"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r>
    </w:p>
    <w:p>
      <w:pPr>
        <w:pStyle w:val="Normal"/>
        <w:spacing w:lineRule="auto" w:line="240"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r>
    </w:p>
    <w:p>
      <w:pPr>
        <w:pStyle w:val="Normal"/>
        <w:spacing w:lineRule="auto" w:line="240"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r>
    </w:p>
    <w:p>
      <w:pPr>
        <w:pStyle w:val="Normal"/>
        <w:spacing w:lineRule="auto" w:line="240"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r>
    </w:p>
    <w:p>
      <w:pPr>
        <w:pStyle w:val="Normal"/>
        <w:spacing w:lineRule="auto" w:line="240"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r>
    </w:p>
    <w:p>
      <w:pPr>
        <w:pStyle w:val="Normal"/>
        <w:spacing w:lineRule="auto" w:line="240"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r>
    </w:p>
    <w:p>
      <w:pPr>
        <w:pStyle w:val="Normal"/>
        <w:spacing w:lineRule="auto" w:line="240" w:before="0" w:after="0"/>
        <w:jc w:val="right"/>
        <w:rPr>
          <w:rFonts w:ascii="Times New Roman" w:hAnsi="Times New Roman" w:cs="Times New Roman"/>
          <w:sz w:val="24"/>
          <w:szCs w:val="28"/>
        </w:rPr>
      </w:pPr>
      <w:r>
        <w:rPr>
          <w:rFonts w:cs="Times New Roman" w:ascii="Times New Roman" w:hAnsi="Times New Roman"/>
          <w:sz w:val="24"/>
          <w:szCs w:val="28"/>
        </w:rPr>
        <w:t>Приложение №1</w:t>
      </w:r>
    </w:p>
    <w:p>
      <w:pPr>
        <w:pStyle w:val="Normal"/>
        <w:spacing w:lineRule="auto" w:line="240" w:before="0" w:after="0"/>
        <w:jc w:val="right"/>
        <w:rPr>
          <w:rFonts w:ascii="Times New Roman" w:hAnsi="Times New Roman" w:cs="Times New Roman"/>
          <w:sz w:val="24"/>
          <w:szCs w:val="28"/>
        </w:rPr>
      </w:pPr>
      <w:r>
        <w:rPr>
          <w:rFonts w:cs="Times New Roman" w:ascii="Times New Roman" w:hAnsi="Times New Roman"/>
          <w:sz w:val="24"/>
          <w:szCs w:val="28"/>
        </w:rPr>
        <w:t xml:space="preserve">к постановлению Новозыбковской </w:t>
      </w:r>
    </w:p>
    <w:p>
      <w:pPr>
        <w:pStyle w:val="Normal"/>
        <w:spacing w:lineRule="auto" w:line="240" w:before="0" w:after="0"/>
        <w:jc w:val="right"/>
        <w:rPr>
          <w:rFonts w:ascii="Times New Roman" w:hAnsi="Times New Roman" w:cs="Times New Roman"/>
          <w:sz w:val="24"/>
          <w:szCs w:val="28"/>
        </w:rPr>
      </w:pPr>
      <w:r>
        <w:rPr>
          <w:rFonts w:cs="Times New Roman" w:ascii="Times New Roman" w:hAnsi="Times New Roman"/>
          <w:sz w:val="24"/>
          <w:szCs w:val="28"/>
        </w:rPr>
        <w:t>городской администрации</w:t>
      </w:r>
    </w:p>
    <w:p>
      <w:pPr>
        <w:pStyle w:val="Normal"/>
        <w:spacing w:lineRule="auto" w:line="240" w:before="0" w:after="0"/>
        <w:jc w:val="right"/>
        <w:rPr>
          <w:rFonts w:ascii="Times New Roman" w:hAnsi="Times New Roman" w:cs="Times New Roman"/>
          <w:szCs w:val="24"/>
        </w:rPr>
      </w:pPr>
      <w:r>
        <w:rPr>
          <w:rFonts w:cs="Times New Roman" w:ascii="Times New Roman" w:hAnsi="Times New Roman"/>
          <w:szCs w:val="24"/>
        </w:rPr>
        <w:t xml:space="preserve">                                                                                                                              </w:t>
      </w:r>
    </w:p>
    <w:p>
      <w:pPr>
        <w:pStyle w:val="Normal"/>
        <w:spacing w:lineRule="auto" w:line="240" w:before="0" w:after="0"/>
        <w:jc w:val="right"/>
        <w:rPr>
          <w:rFonts w:ascii="Times New Roman" w:hAnsi="Times New Roman" w:cs="Times New Roman"/>
          <w:szCs w:val="24"/>
        </w:rPr>
      </w:pPr>
      <w:r>
        <w:rPr>
          <w:rFonts w:cs="Times New Roman" w:ascii="Times New Roman" w:hAnsi="Times New Roman"/>
          <w:szCs w:val="24"/>
        </w:rPr>
      </w:r>
    </w:p>
    <w:p>
      <w:pPr>
        <w:pStyle w:val="Normal"/>
        <w:spacing w:lineRule="auto" w:line="240" w:before="0" w:after="0"/>
        <w:jc w:val="right"/>
        <w:rPr>
          <w:rFonts w:ascii="Times New Roman" w:hAnsi="Times New Roman" w:cs="Times New Roman"/>
          <w:szCs w:val="24"/>
        </w:rPr>
      </w:pPr>
      <w:r>
        <w:rPr>
          <w:rFonts w:cs="Times New Roman" w:ascii="Times New Roman" w:hAnsi="Times New Roman"/>
          <w:szCs w:val="24"/>
        </w:rPr>
      </w:r>
    </w:p>
    <w:p>
      <w:pPr>
        <w:pStyle w:val="Normal"/>
        <w:spacing w:lineRule="auto" w:line="240" w:before="0" w:after="0"/>
        <w:jc w:val="center"/>
        <w:rPr>
          <w:rFonts w:ascii="Times New Roman" w:hAnsi="Times New Roman" w:cs="Times New Roman"/>
          <w:b/>
          <w:bCs/>
          <w:sz w:val="28"/>
          <w:szCs w:val="28"/>
        </w:rPr>
      </w:pPr>
      <w:r>
        <w:rPr>
          <w:rFonts w:cs="Times New Roman" w:ascii="Times New Roman" w:hAnsi="Times New Roman"/>
          <w:b/>
          <w:bCs/>
          <w:sz w:val="28"/>
          <w:szCs w:val="28"/>
        </w:rPr>
      </w:r>
    </w:p>
    <w:p>
      <w:pPr>
        <w:pStyle w:val="Normal"/>
        <w:spacing w:lineRule="auto" w:line="240" w:before="0" w:after="0"/>
        <w:jc w:val="center"/>
        <w:rPr>
          <w:rFonts w:ascii="Times New Roman" w:hAnsi="Times New Roman" w:cs="Times New Roman"/>
          <w:b/>
          <w:bCs/>
          <w:sz w:val="28"/>
          <w:szCs w:val="28"/>
        </w:rPr>
      </w:pPr>
      <w:r>
        <w:rPr>
          <w:rFonts w:cs="Times New Roman" w:ascii="Times New Roman" w:hAnsi="Times New Roman"/>
          <w:b/>
          <w:bCs/>
          <w:sz w:val="28"/>
          <w:szCs w:val="28"/>
        </w:rPr>
        <w:t>Программа профилактики рисков причинения вреда (ущерба) охраняемым законом ценностям в сфере муниципального контроля на автомобильном транспорте, городском наземном электрическом транспорте и в дорожном хозяйстве в границах Новозыбковского городского округа Брянской области на 2025 год</w:t>
      </w:r>
    </w:p>
    <w:p>
      <w:pPr>
        <w:pStyle w:val="Normal"/>
        <w:spacing w:lineRule="auto" w:line="240" w:before="0" w:after="0"/>
        <w:jc w:val="center"/>
        <w:rPr>
          <w:rFonts w:ascii="Times New Roman" w:hAnsi="Times New Roman" w:cs="Times New Roman"/>
          <w:b/>
          <w:bCs/>
          <w:sz w:val="28"/>
          <w:szCs w:val="28"/>
        </w:rPr>
      </w:pPr>
      <w:r>
        <w:rPr>
          <w:rFonts w:cs="Times New Roman" w:ascii="Times New Roman" w:hAnsi="Times New Roman"/>
          <w:b/>
          <w:bCs/>
          <w:sz w:val="28"/>
          <w:szCs w:val="28"/>
        </w:rPr>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Раздел 1. Анализ текущего состояния осуществления вида контроля, описание текущего уровня развития профилактической деятельности контрольного органа, характеристика проблем, на решение которых направлена программа профилактики рисков причинения вреда</w:t>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r>
    </w:p>
    <w:p>
      <w:pPr>
        <w:pStyle w:val="ListParagraph"/>
        <w:numPr>
          <w:ilvl w:val="1"/>
          <w:numId w:val="2"/>
        </w:numPr>
        <w:spacing w:lineRule="auto" w:line="240" w:before="0" w:after="0"/>
        <w:contextualSpacing/>
        <w:jc w:val="center"/>
        <w:rPr>
          <w:rFonts w:ascii="Times New Roman" w:hAnsi="Times New Roman" w:cs="Times New Roman"/>
          <w:b/>
          <w:bCs/>
          <w:sz w:val="24"/>
          <w:szCs w:val="24"/>
        </w:rPr>
      </w:pPr>
      <w:r>
        <w:rPr>
          <w:rFonts w:cs="Times New Roman" w:ascii="Times New Roman" w:hAnsi="Times New Roman"/>
          <w:b/>
          <w:bCs/>
          <w:sz w:val="24"/>
          <w:szCs w:val="24"/>
        </w:rPr>
        <w:t xml:space="preserve"> </w:t>
      </w:r>
      <w:r>
        <w:rPr>
          <w:rFonts w:cs="Times New Roman" w:ascii="Times New Roman" w:hAnsi="Times New Roman"/>
          <w:b/>
          <w:bCs/>
          <w:sz w:val="24"/>
          <w:szCs w:val="24"/>
        </w:rPr>
        <w:t>Анализ текущего состояния осуществления вида контроля.</w:t>
      </w:r>
    </w:p>
    <w:p>
      <w:pPr>
        <w:pStyle w:val="ListParagraph"/>
        <w:spacing w:lineRule="auto" w:line="240" w:before="0" w:after="0"/>
        <w:contextualSpacing/>
        <w:rPr>
          <w:rFonts w:ascii="Times New Roman" w:hAnsi="Times New Roman" w:cs="Times New Roman"/>
          <w:b/>
          <w:bCs/>
          <w:sz w:val="24"/>
          <w:szCs w:val="24"/>
        </w:rPr>
      </w:pPr>
      <w:r>
        <w:rPr>
          <w:rFonts w:cs="Times New Roman" w:ascii="Times New Roman" w:hAnsi="Times New Roman"/>
          <w:b/>
          <w:bCs/>
          <w:sz w:val="24"/>
          <w:szCs w:val="24"/>
        </w:rPr>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Настоящая программа разработана в соответствии со статьей 44 Федерального закона от 31 июля 2021 г. №248-ФЗ «О государственном контроле (надзоре) и муниципальном контроле в Российской Федерации», постановлением Правительства Российской Федерации от 25 июня 2021 г.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и предусматривает комплекс мероприятий про профилактике рисков причинения вреда (ущерба) охраняемым законом ценностям при осуществлении муниципального контроля на автомобильном транспорте, городском наземном электрическом транспорте и в дорожном хозяйстве в границах Новозыбковского городского округа.</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Муниципальный контроль на автомобильном транспорте, городском наземном электрическом транспорте и в дорожном хозяйстве – это деятельность органа местного самоуправления, уполномоченного на организацию и проведение на территории Новозыбковского городского округа проверок соблюдения юридическими лицами, индивидуальными предпринимателями и гражданами обязательных требований:</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1)  в области автомобильных дорог и дорожной деятельности, установленных в отношении автомобильных дорог местного значения Новозыбковского городского округа:</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а) к эксплуатации дорожного сервиса, размещенных в полосах отвода и (или) придорожных полосах автомобильных дорог общего пользования;</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 части обеспечения сохранности автомобильных дорог; </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организации регулярных перевозок.</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Муниципальный контроль на автомобильном транспорте, городском наземном электрическом транспорте и в дорожном хозяйстве на территории Новозыбковского городского округа Брянской области осуществляется отделом строительства, ЖКХ и тарифно-ценовой политики, отделом экономического развития Новозыбковской городской администрации.</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Главной задачей контрольного органа при осуществлении муниципального контроля на автомобильном транспорте, городском наземном электрическом транспорте и в дорожном хозяйстве на территории Новозыбковского городского округа Брянской области является переориентация контрольной деятельности на объекты повышенного риска и усиление профилактической работы в отношении всех объектов контроля, обеспечивая приоритет проведения профилактики.</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В 2024 году Новозыбковской городской администрацией при осуществлении муниципального контроля на автомобильном транспорте, городском наземном электрическом транспорте и в дорожном хозяйстве на территории Новозыбковского городского округа Брянской области плановые и внеплановые проверки не проводились.</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Административные протоколы в отношении субъектов контроля, нарушивших законодательство автомобильной и дорожной сфере, не составлялись, предписания о выполнении обязательных требований, предъявляемых к деятельности контролируемого лица либо к принадлежащим ему объектам контроля, не выдавались.</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jc w:val="center"/>
        <w:rPr>
          <w:rFonts w:ascii="Times New Roman" w:hAnsi="Times New Roman" w:cs="Times New Roman"/>
          <w:b/>
          <w:sz w:val="24"/>
          <w:szCs w:val="24"/>
        </w:rPr>
      </w:pPr>
      <w:r>
        <w:rPr>
          <w:rFonts w:cs="Times New Roman" w:ascii="Times New Roman" w:hAnsi="Times New Roman"/>
          <w:b/>
          <w:sz w:val="24"/>
          <w:szCs w:val="24"/>
        </w:rPr>
        <w:t>1.2 Описание текущего развития профилактической деятельности контрольного органа.</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В 2024 году в контрольный орган </w:t>
      </w:r>
      <w:r>
        <w:rPr>
          <w:rFonts w:cs="Times New Roman" w:ascii="Times New Roman" w:hAnsi="Times New Roman"/>
          <w:sz w:val="24"/>
          <w:szCs w:val="24"/>
        </w:rPr>
        <w:t xml:space="preserve">не </w:t>
      </w:r>
      <w:r>
        <w:rPr>
          <w:rFonts w:cs="Times New Roman" w:ascii="Times New Roman" w:hAnsi="Times New Roman"/>
          <w:sz w:val="24"/>
          <w:szCs w:val="24"/>
        </w:rPr>
        <w:t xml:space="preserve">поступали сведения о нарушении обязательных требований, установленных автомобильным и дорожным законодательством.  </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Контролируемым лицам в 2024 (за 9 месяцев текущего года) предостережения о недопустимости нарушения обязательных требований не объявлялись.</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Проведение профилактических мероприятий, направленных на соблюдение подконтрольными субъектами обязательных требований законодательства, на побуждение подконтрольных субъектов к добросовестности, будет способствовать повышению их ответственности, а также снижению количества совершаемых нарушений.</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jc w:val="center"/>
        <w:rPr>
          <w:rFonts w:ascii="Times New Roman" w:hAnsi="Times New Roman" w:cs="Times New Roman"/>
          <w:b/>
          <w:sz w:val="24"/>
          <w:szCs w:val="24"/>
        </w:rPr>
      </w:pPr>
      <w:r>
        <w:rPr>
          <w:rFonts w:cs="Times New Roman" w:ascii="Times New Roman" w:hAnsi="Times New Roman"/>
          <w:b/>
          <w:sz w:val="24"/>
          <w:szCs w:val="24"/>
        </w:rPr>
        <w:t>1.3. К проблемам, на решение которых направлена Программа профилактики, относится:</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отсутствие необходимого уровня знаний требований законодательства, большой объем нормативных правовых актов, регулирующих сферу деятельности подконтрольных субъектов и их систематическое изменение.</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С целью решения данных проблем Новозыбковская городская администрация продолжит профилактическую работу, с целью повышения уровня информированности подконтрольных субъектов по вопросам соблюдения обязательных требований, обеспечения доступности сведений о применении обязательных требований, обеспечения взаимодействия с подконтрольными субъектами и повышения уровня доверия подконтрольных субъектов к органу муниципального контроля, повышения уровня правовой грамотности подконтрольных субъектов, обеспечения единообразия понимания предмета контроля подконтрольными субъектами, мотивации подконтрольных субъектов к добросовестному поведению и сознательному соблюдению обязательных требований. </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Мероприятия Программы профилактики будут способствовать частичному решению обозначенных проблем в связи с повышением информированности контролируемых лиц относительно последствий нарушения обязательных требований и способов устранения нарушений предусмотренными законодательством и муниципальными правовыми актами способами</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jc w:val="both"/>
        <w:rPr>
          <w:rFonts w:ascii="Times New Roman" w:hAnsi="Times New Roman" w:cs="Times New Roman"/>
          <w:b/>
          <w:bCs/>
          <w:sz w:val="24"/>
          <w:szCs w:val="24"/>
        </w:rPr>
      </w:pPr>
      <w:r>
        <w:rPr>
          <w:rFonts w:cs="Times New Roman" w:ascii="Times New Roman" w:hAnsi="Times New Roman"/>
          <w:b/>
          <w:bCs/>
          <w:sz w:val="24"/>
          <w:szCs w:val="24"/>
        </w:rPr>
        <w:t>Раздел 2. Цели и задачи реализации программы профилактики рисков причинения вреда.</w:t>
      </w:r>
    </w:p>
    <w:p>
      <w:pPr>
        <w:pStyle w:val="Normal"/>
        <w:spacing w:lineRule="auto" w:line="240" w:before="0" w:after="0"/>
        <w:ind w:firstLine="709"/>
        <w:jc w:val="both"/>
        <w:rPr>
          <w:rFonts w:ascii="Times New Roman" w:hAnsi="Times New Roman" w:cs="Times New Roman"/>
          <w:b/>
          <w:bCs/>
          <w:sz w:val="24"/>
          <w:szCs w:val="24"/>
        </w:rPr>
      </w:pPr>
      <w:r>
        <w:rPr>
          <w:rFonts w:cs="Times New Roman" w:ascii="Times New Roman" w:hAnsi="Times New Roman"/>
          <w:b/>
          <w:bCs/>
          <w:sz w:val="24"/>
          <w:szCs w:val="24"/>
        </w:rPr>
      </w:r>
    </w:p>
    <w:p>
      <w:pPr>
        <w:pStyle w:val="Normal"/>
        <w:spacing w:lineRule="auto" w:line="240" w:before="0" w:after="0"/>
        <w:ind w:firstLine="709"/>
        <w:jc w:val="both"/>
        <w:rPr>
          <w:rFonts w:ascii="Times New Roman" w:hAnsi="Times New Roman" w:cs="Times New Roman"/>
          <w:b/>
          <w:bCs/>
          <w:sz w:val="24"/>
          <w:szCs w:val="24"/>
        </w:rPr>
      </w:pPr>
      <w:r>
        <w:rPr>
          <w:rFonts w:cs="Times New Roman" w:ascii="Times New Roman" w:hAnsi="Times New Roman"/>
          <w:b/>
          <w:bCs/>
          <w:sz w:val="24"/>
          <w:szCs w:val="24"/>
        </w:rPr>
        <w:t>Основными целями программы профилактики являются:</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-стимулирование добросовестного соблюдения обязательных требований контролируемыми лицами; </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-устранение условий, причин и факторов, способных привести к нарушения обязательных требований и (или) причинению вреда (ущерба) охраняемым законом ценностям;</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-создание условий для доведения обязательных требований до контролируемых лиц, повышение информированности о способах их соблюдения.</w:t>
      </w:r>
    </w:p>
    <w:p>
      <w:pPr>
        <w:pStyle w:val="Normal"/>
        <w:spacing w:lineRule="auto" w:line="240" w:before="0" w:after="0"/>
        <w:ind w:firstLine="709"/>
        <w:jc w:val="both"/>
        <w:rPr>
          <w:rFonts w:ascii="Times New Roman" w:hAnsi="Times New Roman" w:cs="Times New Roman"/>
          <w:b/>
          <w:bCs/>
          <w:sz w:val="24"/>
          <w:szCs w:val="24"/>
        </w:rPr>
      </w:pPr>
      <w:r>
        <w:rPr>
          <w:rFonts w:cs="Times New Roman" w:ascii="Times New Roman" w:hAnsi="Times New Roman"/>
          <w:b/>
          <w:bCs/>
          <w:sz w:val="24"/>
          <w:szCs w:val="24"/>
        </w:rPr>
        <w:t>Проведение профилактический мероприятий программы профилактики направлено на решение следующих задач:</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-выявление причин, факторов и условий, способствующих нарушению обязательных требований законодательства, определение способов устранения или снижения рисков их возникновения;</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-формирование единого понимания обязательных требований законодательства у всех участников контрольной деятельности;</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-установление зависимости видов, форм и интенсивности профилактических мероприятий от особенностей конкретных подконтрольных субъектов, и проведение профилактических мероприятий с учетом данных факторов;</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-укрепление системы профилактики нарушений рисков причинения вреда (ущерба) охраняемым законом ценностям;</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-повышение уровня правовой грамотности подконтрольных субъектов, в том числе путем обеспечения доступности информации об обязательных требованиях законодательства и необходимых мерах по их исполнению.</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jc w:val="both"/>
        <w:rPr>
          <w:rFonts w:ascii="Times New Roman" w:hAnsi="Times New Roman" w:cs="Times New Roman"/>
          <w:b/>
          <w:bCs/>
          <w:sz w:val="24"/>
          <w:szCs w:val="24"/>
        </w:rPr>
      </w:pPr>
      <w:r>
        <w:rPr>
          <w:rFonts w:cs="Times New Roman" w:ascii="Times New Roman" w:hAnsi="Times New Roman"/>
          <w:b/>
          <w:bCs/>
          <w:sz w:val="24"/>
          <w:szCs w:val="24"/>
        </w:rPr>
        <w:t>Раздел 3. Перечень профилактических мероприятий, сроки (периодичность) их проведения.</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3.1. При осуществлении администрацией муниципального контроля на автомобильном транспорте, городском наземном электрическом транспорте и в дорожном хозяйстве в границах Новозыбковского городского округа могут проводиться следующие виды профилактических мероприятий:</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 информирование;</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 объявление предостережений;</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-консультирование;</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 xml:space="preserve">-профилактический визит. </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3.1.1.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(доступ к специальному разделу должен осуществляться с главной (основной) страницы официального сайта администрации), в средствах массовой информации, через личные кабинеты контролируемых лиц в государственных информационных системах (при их наличии) и в иных формах на бумажном носителе в виде листов информирования и информационных листовок.</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частью 3 статьи 46 Федерального закона от 31.07.2020 № 248-ФЗ «О государственном контроле (надзоре) и муниципальном контроле в Российской Федерации»:</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ab/>
        <w:t xml:space="preserve">1) тексты нормативных правовых актов, регулирующих осуществление муниципального контроля; </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ab/>
        <w:t xml:space="preserve">2) сведения об изменениях, внесенных в нормативные правовые акты, регулирующие осуществление муниципального контроля, о сроках и порядке их вступления в силу; </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ab/>
        <w:t xml:space="preserve">3) 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 </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ab/>
        <w:t xml:space="preserve">4) руководства по соблюдению обязательных требований, разработанные и утвержденные в соответствии с Федеральным законом «Об обязательных требованиях в Российской Федерации»; </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ab/>
        <w:t xml:space="preserve">5) перечень индикаторов риска нарушения обязательных требований; </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ab/>
        <w:t xml:space="preserve">6) программу профилактики рисков причинения вреда; </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ab/>
        <w:t xml:space="preserve">7) исчерпывающий перечень сведений, которые могут запрашиваться контрольным органом у контролируемого лица; </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ab/>
        <w:t xml:space="preserve">8) сведения о способах получения консультаций по вопросам соблюдения обязательных требований; </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ab/>
        <w:t xml:space="preserve">9) доклады, содержащие результаты обобщения правоприменительной практики контрольного органа; </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ab/>
        <w:t xml:space="preserve">10) доклады о муниципальном контроле; </w:t>
      </w:r>
    </w:p>
    <w:p>
      <w:pPr>
        <w:pStyle w:val="Normal"/>
        <w:spacing w:lineRule="auto" w:line="240" w:before="0" w:after="0"/>
        <w:ind w:firstLine="1417"/>
        <w:jc w:val="both"/>
        <w:rPr>
          <w:rFonts w:ascii="Times New Roman" w:hAnsi="Times New Roman" w:cs="Times New Roman"/>
          <w:bCs/>
          <w:sz w:val="24"/>
          <w:szCs w:val="24"/>
        </w:rPr>
      </w:pPr>
      <w:r>
        <w:rPr>
          <w:rFonts w:cs="Times New Roman" w:ascii="Times New Roman" w:hAnsi="Times New Roman"/>
          <w:bCs/>
          <w:sz w:val="24"/>
          <w:szCs w:val="24"/>
        </w:rPr>
        <w:t>11) 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Администрация также вправе информировать население Новозыбковского городского округа Брянской области на собраниях и конференциях граждан об обязательных требованиях, предъявляемых к объектам контроля. А также иным способом.</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 xml:space="preserve">3.1.2. </w:t>
        <w:tab/>
        <w:t>Предостережение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(заместителем главы) Новозыбковской городской администрации Брянской области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Предостережение о недопустимости нарушения обязательных требований оформляется в соответствии с формой, утвержденной 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 xml:space="preserve">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 </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3.1.3. Консультирование контролируемых лиц осуществляется должностным лицом, уполномоченным осуществлять муниципальный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Личный прием граждан проводится главой (заместителем главы) Новозыбковской городской администрации  Брянской области и (или) должностным лицом, уполномоченным осуществлять муниципальный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Консультирование осуществляется в устной или письменной форме по следующим вопросам:</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 организация и осуществление муниципального контроля на автомобильном транспорте, городском наземном транспорте и в дорожном хозяйстве в границах Новозыбковского городского округа Брянской области;</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 порядок осуществления контрольных мероприятий, установленных настоящим Постановлением;</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 порядок обжалования действий (бездействия) должностных лиц, уполномоченных осуществлять муниципальный контроль;</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Консультирование контролируемых лиц в устной форме может осуществляться также на собраниях и конференциях граждан.</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Консультирование в письменной форме осуществляется должностным лицом, уполномоченным осуществлять муниципальный контроль, в следующих случаях:</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 контролируемым лицом представлен письменный запрос о представлении письменного ответа по вопросам консультирования;</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 за время консультирования предоставить в устной форме ответ на поставленные вопросы невозможно;</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  ответ на поставленные вопросы требует дополнительного запроса сведений.</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При осуществлении консультирования должностное лицо, уполномоченное осуществлять муниципальный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иных участников контрольного мероприятия, а также результаты проведенных в рамках контрольного мероприятия экспертизы, испытаний.</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Информация, ставшая известной должностному лицу, уполномоченному осуществлять муниципальный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Должностными лицами, уполномоченными осуществлять муниципальный контроль, ведется журнал учета консультирований.</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Новозыбковской городской администрации Брянской области или должностным лицом, уполномоченным осуществлять муниципальный контроль.</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3.1.4.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В ходе профилактического визита инспектором может осуществляться консультирование контролируемого лица в порядке, установленном статьей 50 настоящего Федерального закона.</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В ходе профилактического визита инспектором может осуществляться сбор сведений, необходимых для отнесения объектов контроля к категориям риска.</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Проведение обязательных профилактических визитов должно быть предусмотрено в отношении контролируемых лиц, приступающих к осуществлению деятельности в определенной сфере, а также в отношении объектов контроля, отнесенных к категориям чрезвычайно высокого, высокого и значительного риска.</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Контролируемое лицо вправе отказаться от проведения обязательного профилактического визита, уведомив об этом контрольный (надзорный) орган не позднее чем за три рабочих дня до даты его проведения.</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Порядок и сроки проведения обязательного профилактического визита устанавливаются положением о виде контроля. Контрольный (надзорный) орган обязан предложить проведение профилактического визита лицам, приступающим к осуществлению деятельности в определенной сфере, не позднее чем в течение одного года с момента начала такой деятельности.</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3.2. Перечень профилактических мероприятий, сроки (периодичность) их проведения представлены в таблице:</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r>
    </w:p>
    <w:tbl>
      <w:tblPr>
        <w:tblW w:w="9747"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98"/>
        <w:gridCol w:w="1592"/>
        <w:gridCol w:w="4536"/>
        <w:gridCol w:w="2271"/>
        <w:gridCol w:w="850"/>
      </w:tblGrid>
      <w:tr>
        <w:trPr/>
        <w:tc>
          <w:tcPr>
            <w:tcW w:w="498"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center"/>
              <w:rPr>
                <w:rFonts w:ascii="Times New Roman" w:hAnsi="Times New Roman"/>
                <w:b/>
                <w:sz w:val="24"/>
                <w:szCs w:val="24"/>
              </w:rPr>
            </w:pPr>
            <w:r>
              <w:rPr>
                <w:rFonts w:ascii="Times New Roman" w:hAnsi="Times New Roman"/>
                <w:b/>
                <w:sz w:val="24"/>
                <w:szCs w:val="24"/>
              </w:rPr>
              <w:t xml:space="preserve">№ </w:t>
            </w:r>
            <w:r>
              <w:rPr>
                <w:rFonts w:ascii="Times New Roman" w:hAnsi="Times New Roman"/>
                <w:b/>
                <w:sz w:val="24"/>
                <w:szCs w:val="24"/>
              </w:rPr>
              <w:t>п/ п</w:t>
            </w:r>
          </w:p>
        </w:tc>
        <w:tc>
          <w:tcPr>
            <w:tcW w:w="159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center"/>
              <w:rPr>
                <w:rFonts w:ascii="Times New Roman" w:hAnsi="Times New Roman"/>
                <w:b/>
                <w:sz w:val="24"/>
                <w:szCs w:val="24"/>
              </w:rPr>
            </w:pPr>
            <w:r>
              <w:rPr>
                <w:rFonts w:ascii="Times New Roman" w:hAnsi="Times New Roman"/>
                <w:b/>
                <w:sz w:val="24"/>
                <w:szCs w:val="24"/>
              </w:rPr>
              <w:t>Наименование мероприятия</w:t>
            </w:r>
          </w:p>
        </w:tc>
        <w:tc>
          <w:tcPr>
            <w:tcW w:w="4536"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center"/>
              <w:rPr>
                <w:rFonts w:ascii="Times New Roman" w:hAnsi="Times New Roman"/>
                <w:b/>
                <w:sz w:val="24"/>
                <w:szCs w:val="24"/>
              </w:rPr>
            </w:pPr>
            <w:r>
              <w:rPr>
                <w:rFonts w:ascii="Times New Roman" w:hAnsi="Times New Roman"/>
                <w:b/>
                <w:sz w:val="24"/>
                <w:szCs w:val="24"/>
              </w:rPr>
              <w:t>Сведения о мероприятии</w:t>
            </w:r>
          </w:p>
        </w:tc>
        <w:tc>
          <w:tcPr>
            <w:tcW w:w="2271"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center"/>
              <w:rPr>
                <w:rFonts w:ascii="Times New Roman" w:hAnsi="Times New Roman"/>
                <w:b/>
                <w:sz w:val="24"/>
                <w:szCs w:val="24"/>
              </w:rPr>
            </w:pPr>
            <w:r>
              <w:rPr>
                <w:rFonts w:ascii="Times New Roman" w:hAnsi="Times New Roman"/>
                <w:b/>
                <w:sz w:val="24"/>
                <w:szCs w:val="24"/>
              </w:rPr>
              <w:t>Ответственный за реализацию</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tabs>
                <w:tab w:val="clear" w:pos="708"/>
                <w:tab w:val="left" w:pos="0" w:leader="none"/>
              </w:tabs>
              <w:jc w:val="center"/>
              <w:rPr>
                <w:rFonts w:ascii="Times New Roman" w:hAnsi="Times New Roman"/>
                <w:b/>
                <w:sz w:val="24"/>
                <w:szCs w:val="24"/>
              </w:rPr>
            </w:pPr>
            <w:r>
              <w:rPr>
                <w:rFonts w:ascii="Times New Roman" w:hAnsi="Times New Roman"/>
                <w:b/>
                <w:sz w:val="24"/>
                <w:szCs w:val="24"/>
              </w:rPr>
              <w:t>Срок исполнения</w:t>
            </w:r>
          </w:p>
        </w:tc>
      </w:tr>
      <w:tr>
        <w:trPr>
          <w:trHeight w:val="2085" w:hRule="atLeast"/>
        </w:trPr>
        <w:tc>
          <w:tcPr>
            <w:tcW w:w="498"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rFonts w:ascii="Times New Roman" w:hAnsi="Times New Roman"/>
                <w:sz w:val="24"/>
                <w:szCs w:val="24"/>
              </w:rPr>
            </w:pPr>
            <w:r>
              <w:rPr>
                <w:rFonts w:ascii="Times New Roman" w:hAnsi="Times New Roman"/>
                <w:sz w:val="24"/>
                <w:szCs w:val="24"/>
              </w:rPr>
              <w:t>1.</w:t>
            </w:r>
          </w:p>
        </w:tc>
        <w:tc>
          <w:tcPr>
            <w:tcW w:w="1592"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t>Информирование</w:t>
            </w:r>
          </w:p>
        </w:tc>
        <w:tc>
          <w:tcPr>
            <w:tcW w:w="4536"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t>1) Размещение и поддержание контрольным органом в актуальном состоянии на своем официальном интернет сайте Администрации информации в соответствии с п. 3.1.1 настоящей программы профилактики</w:t>
            </w:r>
          </w:p>
        </w:tc>
        <w:tc>
          <w:tcPr>
            <w:tcW w:w="2271"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t>Должностные лица отдела ЖКХ, строительства и тарифно-ценовой политики Новозыбковской городской администрации Брянской области, специалист отдела экономического развития Новозыбковской городской администрации</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olor w:val="000000"/>
                <w:sz w:val="24"/>
                <w:szCs w:val="24"/>
              </w:rPr>
            </w:pPr>
            <w:r>
              <w:rPr>
                <w:rFonts w:ascii="Times New Roman" w:hAnsi="Times New Roman"/>
                <w:color w:val="000000"/>
                <w:sz w:val="24"/>
                <w:szCs w:val="24"/>
              </w:rPr>
              <w:t>Не реже 1 раза в месяц</w:t>
            </w:r>
          </w:p>
        </w:tc>
      </w:tr>
      <w:tr>
        <w:trPr>
          <w:trHeight w:val="2083" w:hRule="atLeast"/>
        </w:trPr>
        <w:tc>
          <w:tcPr>
            <w:tcW w:w="498"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rFonts w:ascii="Times New Roman" w:hAnsi="Times New Roman"/>
                <w:sz w:val="24"/>
                <w:szCs w:val="24"/>
              </w:rPr>
            </w:pPr>
            <w:r>
              <w:rPr>
                <w:rFonts w:ascii="Times New Roman" w:hAnsi="Times New Roman"/>
                <w:sz w:val="24"/>
                <w:szCs w:val="24"/>
              </w:rPr>
            </w:r>
          </w:p>
        </w:tc>
        <w:tc>
          <w:tcPr>
            <w:tcW w:w="1592"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r>
          </w:p>
        </w:tc>
        <w:tc>
          <w:tcPr>
            <w:tcW w:w="4536"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t>2) Размещение контрольным органом информации соответствии с п. 3.1.1 настоящей программы профилактики в средствах массовой информации</w:t>
            </w:r>
          </w:p>
        </w:tc>
        <w:tc>
          <w:tcPr>
            <w:tcW w:w="2271"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t>Должностные лица отдела ЖКХ, строительства и тарифно-ценовой политики Новозыбковской городской администрации Брянской области, специалист отдела экономического развития Новозыбковской городской администрации</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olor w:val="000000"/>
                <w:sz w:val="24"/>
                <w:szCs w:val="24"/>
              </w:rPr>
            </w:pPr>
            <w:r>
              <w:rPr>
                <w:rFonts w:ascii="Times New Roman" w:hAnsi="Times New Roman"/>
                <w:color w:val="000000"/>
                <w:sz w:val="24"/>
                <w:szCs w:val="24"/>
              </w:rPr>
              <w:t>Не менее 1 раза в год, далее по мере необходимости</w:t>
            </w:r>
          </w:p>
        </w:tc>
      </w:tr>
      <w:tr>
        <w:trPr>
          <w:trHeight w:val="2083" w:hRule="atLeast"/>
        </w:trPr>
        <w:tc>
          <w:tcPr>
            <w:tcW w:w="498"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rFonts w:ascii="Times New Roman" w:hAnsi="Times New Roman"/>
                <w:sz w:val="24"/>
                <w:szCs w:val="24"/>
              </w:rPr>
            </w:pPr>
            <w:r>
              <w:rPr>
                <w:rFonts w:ascii="Times New Roman" w:hAnsi="Times New Roman"/>
                <w:sz w:val="24"/>
                <w:szCs w:val="24"/>
              </w:rPr>
            </w:r>
          </w:p>
        </w:tc>
        <w:tc>
          <w:tcPr>
            <w:tcW w:w="1592"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r>
          </w:p>
        </w:tc>
        <w:tc>
          <w:tcPr>
            <w:tcW w:w="4536"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t xml:space="preserve">3) Осуществление рассылки тематических (сезонных) листов информирования и (или) информационных листовок на бумажных носителях, содержащих </w:t>
            </w:r>
            <w:hyperlink r:id="rId2">
              <w:r>
                <w:rPr>
                  <w:rStyle w:val="Hyperlink"/>
                  <w:rFonts w:ascii="Times New Roman" w:hAnsi="Times New Roman"/>
                  <w:color w:val="auto"/>
                  <w:sz w:val="24"/>
                  <w:szCs w:val="24"/>
                  <w:u w:val="none"/>
                </w:rPr>
                <w:t>перечень</w:t>
              </w:r>
            </w:hyperlink>
            <w:r>
              <w:rPr>
                <w:rFonts w:ascii="Times New Roman" w:hAnsi="Times New Roman"/>
                <w:sz w:val="24"/>
                <w:szCs w:val="24"/>
              </w:rPr>
              <w:t xml:space="preserve">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w:t>
            </w:r>
          </w:p>
        </w:tc>
        <w:tc>
          <w:tcPr>
            <w:tcW w:w="2271"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t>Должностные лица отдела ЖКХ, строительства и тарифно-ценовой политики Новозыбковской городской администрации Брянской области, специалист отдела экономического развития Новозыбковской городской администрации</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olor w:val="000000"/>
                <w:sz w:val="24"/>
                <w:szCs w:val="24"/>
              </w:rPr>
            </w:pPr>
            <w:r>
              <w:rPr>
                <w:rFonts w:ascii="Times New Roman" w:hAnsi="Times New Roman"/>
                <w:color w:val="000000"/>
                <w:sz w:val="24"/>
                <w:szCs w:val="24"/>
              </w:rPr>
              <w:t>1 раз в квартал</w:t>
            </w:r>
          </w:p>
        </w:tc>
      </w:tr>
      <w:tr>
        <w:trPr>
          <w:trHeight w:val="3217" w:hRule="atLeast"/>
        </w:trPr>
        <w:tc>
          <w:tcPr>
            <w:tcW w:w="498"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rFonts w:ascii="Times New Roman" w:hAnsi="Times New Roman"/>
                <w:sz w:val="24"/>
                <w:szCs w:val="24"/>
                <w:lang w:eastAsia="ar-SA"/>
              </w:rPr>
            </w:pPr>
            <w:r>
              <w:rPr>
                <w:rFonts w:ascii="Times New Roman" w:hAnsi="Times New Roman"/>
                <w:sz w:val="24"/>
                <w:szCs w:val="24"/>
                <w:lang w:eastAsia="ar-SA"/>
              </w:rPr>
              <w:t>2.</w:t>
            </w:r>
          </w:p>
        </w:tc>
        <w:tc>
          <w:tcPr>
            <w:tcW w:w="1592"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lang w:eastAsia="ar-SA"/>
              </w:rPr>
            </w:pPr>
            <w:r>
              <w:rPr>
                <w:rFonts w:ascii="Times New Roman" w:hAnsi="Times New Roman"/>
                <w:sz w:val="24"/>
                <w:szCs w:val="24"/>
              </w:rPr>
              <w:t>Консультирование</w:t>
            </w:r>
          </w:p>
        </w:tc>
        <w:tc>
          <w:tcPr>
            <w:tcW w:w="4536"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lang w:eastAsia="ar-SA"/>
              </w:rPr>
            </w:pPr>
            <w:r>
              <w:rPr>
                <w:rFonts w:ascii="Times New Roman" w:hAnsi="Times New Roman"/>
                <w:sz w:val="24"/>
                <w:szCs w:val="24"/>
              </w:rPr>
              <w:t>1) Осуществление консультирования в устной форме контролируемых лиц и (или) их представителей по телефону, посредством видео -конференц –связи, на личном приеме, либо в ходе проведения профилактических мероприятий, контрольных мероприятий</w:t>
            </w:r>
          </w:p>
        </w:tc>
        <w:tc>
          <w:tcPr>
            <w:tcW w:w="2271"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t>Должностные лица отдела ЖКХ, строительства и тарифно-ценовой политики Новозыбковской городской администрации Брянской области, специалист отдела экономического развития Новозыбковской городской администрации</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olor w:val="000000"/>
                <w:sz w:val="24"/>
                <w:szCs w:val="24"/>
                <w:lang w:eastAsia="ar-SA"/>
              </w:rPr>
            </w:pPr>
            <w:r>
              <w:rPr>
                <w:rFonts w:ascii="Times New Roman" w:hAnsi="Times New Roman"/>
                <w:color w:val="000000"/>
                <w:sz w:val="24"/>
                <w:szCs w:val="24"/>
              </w:rPr>
              <w:t>по мере обращения контролируемых лиц, а также в ходе проведения других профилактических мероприятий</w:t>
            </w:r>
          </w:p>
        </w:tc>
      </w:tr>
      <w:tr>
        <w:trPr>
          <w:trHeight w:val="3215" w:hRule="atLeast"/>
        </w:trPr>
        <w:tc>
          <w:tcPr>
            <w:tcW w:w="498"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rFonts w:ascii="Times New Roman" w:hAnsi="Times New Roman"/>
                <w:sz w:val="24"/>
                <w:szCs w:val="24"/>
                <w:lang w:eastAsia="ar-SA"/>
              </w:rPr>
            </w:pPr>
            <w:r>
              <w:rPr>
                <w:rFonts w:ascii="Times New Roman" w:hAnsi="Times New Roman"/>
                <w:sz w:val="24"/>
                <w:szCs w:val="24"/>
                <w:lang w:eastAsia="ar-SA"/>
              </w:rPr>
            </w:r>
          </w:p>
        </w:tc>
        <w:tc>
          <w:tcPr>
            <w:tcW w:w="1592"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r>
          </w:p>
        </w:tc>
        <w:tc>
          <w:tcPr>
            <w:tcW w:w="4536"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t>2) Осуществление консультирования в письменной форме при поступлении письменного обращения от контролируемых лиц</w:t>
            </w:r>
            <w:r>
              <w:rPr>
                <w:rFonts w:eastAsia="Times New Roman" w:ascii="Times New Roman" w:hAnsi="Times New Roman"/>
                <w:sz w:val="24"/>
                <w:szCs w:val="24"/>
                <w:lang w:eastAsia="ru-RU"/>
              </w:rPr>
              <w:t xml:space="preserve"> </w:t>
            </w:r>
            <w:r>
              <w:rPr>
                <w:rFonts w:ascii="Times New Roman" w:hAnsi="Times New Roman"/>
                <w:sz w:val="24"/>
                <w:szCs w:val="24"/>
              </w:rPr>
              <w:t>и (или) их представителей</w:t>
            </w:r>
          </w:p>
        </w:tc>
        <w:tc>
          <w:tcPr>
            <w:tcW w:w="227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160"/>
              <w:rPr>
                <w:rFonts w:ascii="Times New Roman" w:hAnsi="Times New Roman" w:cs="Times New Roman"/>
                <w:sz w:val="24"/>
                <w:szCs w:val="24"/>
              </w:rPr>
            </w:pPr>
            <w:r>
              <w:rPr>
                <w:rFonts w:cs="Times New Roman" w:ascii="Times New Roman" w:hAnsi="Times New Roman"/>
                <w:sz w:val="24"/>
                <w:szCs w:val="24"/>
              </w:rPr>
              <w:t>Должностные лица отдела ЖКХ, строительства и тарифно-ценовой политики Новозыбковской городской администрации Брянской области,</w:t>
            </w:r>
            <w:r>
              <w:rPr>
                <w:rFonts w:ascii="Times New Roman" w:hAnsi="Times New Roman"/>
                <w:sz w:val="24"/>
                <w:szCs w:val="24"/>
              </w:rPr>
              <w:t xml:space="preserve"> специалист отдела экономического развития Новозыбковской городской администрации</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olor w:val="000000"/>
                <w:sz w:val="24"/>
                <w:szCs w:val="24"/>
              </w:rPr>
            </w:pPr>
            <w:r>
              <w:rPr>
                <w:rFonts w:ascii="Times New Roman" w:hAnsi="Times New Roman"/>
                <w:color w:val="000000"/>
                <w:sz w:val="24"/>
                <w:szCs w:val="24"/>
              </w:rPr>
              <w:t>По мере поступления обращений от контролируемых лиц</w:t>
            </w:r>
          </w:p>
        </w:tc>
      </w:tr>
      <w:tr>
        <w:trPr>
          <w:trHeight w:val="3215" w:hRule="atLeast"/>
        </w:trPr>
        <w:tc>
          <w:tcPr>
            <w:tcW w:w="498"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rFonts w:ascii="Times New Roman" w:hAnsi="Times New Roman"/>
                <w:sz w:val="24"/>
                <w:szCs w:val="24"/>
                <w:lang w:eastAsia="ar-SA"/>
              </w:rPr>
            </w:pPr>
            <w:r>
              <w:rPr>
                <w:rFonts w:ascii="Times New Roman" w:hAnsi="Times New Roman"/>
                <w:sz w:val="24"/>
                <w:szCs w:val="24"/>
                <w:lang w:eastAsia="ar-SA"/>
              </w:rPr>
            </w:r>
          </w:p>
        </w:tc>
        <w:tc>
          <w:tcPr>
            <w:tcW w:w="1592"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r>
          </w:p>
        </w:tc>
        <w:tc>
          <w:tcPr>
            <w:tcW w:w="4536"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t>3) Размещения контрольным органом на официальном интернет - сайте Администрации письменного разъяснения</w:t>
            </w:r>
            <w:r>
              <w:rPr>
                <w:rFonts w:eastAsia="Times New Roman" w:ascii="Times New Roman" w:hAnsi="Times New Roman"/>
                <w:sz w:val="24"/>
                <w:szCs w:val="24"/>
                <w:lang w:eastAsia="ru-RU"/>
              </w:rPr>
              <w:t xml:space="preserve"> </w:t>
            </w:r>
            <w:r>
              <w:rPr>
                <w:rFonts w:ascii="Times New Roman" w:hAnsi="Times New Roman"/>
                <w:sz w:val="24"/>
                <w:szCs w:val="24"/>
              </w:rPr>
              <w:t>по 5 и более вопросам однотипных обращений контролируемых лиц и (или) их представителей, с указанием перечня вопросов, по которым осуществляется консультирование, подписанного уполномоченным должностным лицом</w:t>
            </w:r>
          </w:p>
        </w:tc>
        <w:tc>
          <w:tcPr>
            <w:tcW w:w="227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160"/>
              <w:rPr>
                <w:rFonts w:ascii="Times New Roman" w:hAnsi="Times New Roman" w:cs="Times New Roman"/>
                <w:sz w:val="24"/>
                <w:szCs w:val="24"/>
              </w:rPr>
            </w:pPr>
            <w:r>
              <w:rPr>
                <w:rFonts w:cs="Times New Roman" w:ascii="Times New Roman" w:hAnsi="Times New Roman"/>
                <w:sz w:val="24"/>
                <w:szCs w:val="24"/>
              </w:rPr>
              <w:t>Должностные лица отдела ЖКХ, строительства и тарифно-ценовой политики Новозыбковской городской администрации Брянской области,</w:t>
            </w:r>
            <w:r>
              <w:rPr>
                <w:rFonts w:ascii="Times New Roman" w:hAnsi="Times New Roman"/>
                <w:sz w:val="24"/>
                <w:szCs w:val="24"/>
              </w:rPr>
              <w:t xml:space="preserve"> специалист отдела экономического развития Новозыбковской городской администрации</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olor w:val="000000"/>
                <w:sz w:val="24"/>
                <w:szCs w:val="24"/>
              </w:rPr>
            </w:pPr>
            <w:r>
              <w:rPr>
                <w:rFonts w:ascii="Times New Roman" w:hAnsi="Times New Roman"/>
                <w:color w:val="000000"/>
                <w:sz w:val="24"/>
                <w:szCs w:val="24"/>
              </w:rPr>
              <w:t>В течение 10 дней после поступления 5 и более однотипных обращений контролируемых лиц</w:t>
            </w:r>
          </w:p>
        </w:tc>
      </w:tr>
      <w:tr>
        <w:trPr>
          <w:trHeight w:val="2389" w:hRule="atLeast"/>
        </w:trPr>
        <w:tc>
          <w:tcPr>
            <w:tcW w:w="498"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rFonts w:ascii="Times New Roman" w:hAnsi="Times New Roman"/>
                <w:sz w:val="24"/>
                <w:szCs w:val="24"/>
                <w:lang w:eastAsia="ar-SA"/>
              </w:rPr>
            </w:pPr>
            <w:r>
              <w:rPr>
                <w:rFonts w:ascii="Times New Roman" w:hAnsi="Times New Roman"/>
                <w:sz w:val="24"/>
                <w:szCs w:val="24"/>
                <w:lang w:eastAsia="ar-SA"/>
              </w:rPr>
              <w:t>3.</w:t>
            </w:r>
          </w:p>
        </w:tc>
        <w:tc>
          <w:tcPr>
            <w:tcW w:w="1592"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shd w:fill="FFFFFF" w:val="clear"/>
              </w:rPr>
              <w:t>Профилактический визит</w:t>
            </w:r>
          </w:p>
        </w:tc>
        <w:tc>
          <w:tcPr>
            <w:tcW w:w="4536" w:type="dxa"/>
            <w:tcBorders>
              <w:top w:val="single" w:sz="4" w:space="0" w:color="000000"/>
              <w:left w:val="single" w:sz="4" w:space="0" w:color="000000"/>
              <w:bottom w:val="single" w:sz="4" w:space="0" w:color="000000"/>
              <w:right w:val="single" w:sz="4" w:space="0" w:color="000000"/>
            </w:tcBorders>
            <w:shd w:color="auto" w:fill="auto" w:val="clear"/>
          </w:tcPr>
          <w:p>
            <w:pPr>
              <w:pStyle w:val="NormalWeb"/>
              <w:widowControl w:val="false"/>
              <w:shd w:val="clear" w:color="auto" w:fill="FFFFFF"/>
              <w:spacing w:before="0" w:after="0"/>
              <w:rPr/>
            </w:pPr>
            <w:r>
              <w:rPr/>
              <w:t>1) Осуществление профилактического визита в отношении контролируемого лица в следствие  анализа объявленных данному контролируемому лицу предостережений о недопустимости нарушения обязательных требований в предшествующем 2023 году, определенных приложением № 2</w:t>
            </w:r>
          </w:p>
        </w:tc>
        <w:tc>
          <w:tcPr>
            <w:tcW w:w="227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160"/>
              <w:rPr>
                <w:rFonts w:ascii="Times New Roman" w:hAnsi="Times New Roman" w:cs="Times New Roman"/>
                <w:sz w:val="24"/>
                <w:szCs w:val="24"/>
              </w:rPr>
            </w:pPr>
            <w:r>
              <w:rPr>
                <w:rFonts w:cs="Times New Roman" w:ascii="Times New Roman" w:hAnsi="Times New Roman"/>
                <w:sz w:val="24"/>
                <w:szCs w:val="24"/>
              </w:rPr>
              <w:t>Должностные лица отдела ЖКХ, строительства и тарифно-ценовой политики Новозыбковской городской администрации Брянской области,</w:t>
            </w:r>
            <w:r>
              <w:rPr>
                <w:rFonts w:ascii="Times New Roman" w:hAnsi="Times New Roman"/>
                <w:sz w:val="24"/>
                <w:szCs w:val="24"/>
              </w:rPr>
              <w:t xml:space="preserve"> специалист отдела экономического развития Новозыбковской городской администрации</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olor w:val="000000"/>
                <w:sz w:val="24"/>
                <w:szCs w:val="24"/>
                <w:lang w:eastAsia="ar-SA"/>
              </w:rPr>
            </w:pPr>
            <w:r>
              <w:rPr>
                <w:rFonts w:ascii="Times New Roman" w:hAnsi="Times New Roman"/>
                <w:color w:val="000000"/>
                <w:sz w:val="24"/>
                <w:szCs w:val="24"/>
              </w:rPr>
              <w:t>В течение года</w:t>
            </w:r>
          </w:p>
        </w:tc>
      </w:tr>
      <w:tr>
        <w:trPr>
          <w:trHeight w:val="4988" w:hRule="atLeast"/>
        </w:trPr>
        <w:tc>
          <w:tcPr>
            <w:tcW w:w="498"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rFonts w:ascii="Times New Roman" w:hAnsi="Times New Roman"/>
                <w:sz w:val="24"/>
                <w:szCs w:val="24"/>
                <w:lang w:eastAsia="ar-SA"/>
              </w:rPr>
            </w:pPr>
            <w:r>
              <w:rPr>
                <w:rFonts w:ascii="Times New Roman" w:hAnsi="Times New Roman"/>
                <w:sz w:val="24"/>
                <w:szCs w:val="24"/>
                <w:lang w:eastAsia="ar-SA"/>
              </w:rPr>
            </w:r>
          </w:p>
        </w:tc>
        <w:tc>
          <w:tcPr>
            <w:tcW w:w="1592"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shd w:fill="FFFFFF" w:val="clear"/>
              </w:rPr>
            </w:pPr>
            <w:r>
              <w:rPr>
                <w:rFonts w:ascii="Times New Roman" w:hAnsi="Times New Roman"/>
                <w:sz w:val="24"/>
                <w:szCs w:val="24"/>
                <w:shd w:fill="FFFFFF" w:val="clear"/>
              </w:rPr>
            </w:r>
          </w:p>
        </w:tc>
        <w:tc>
          <w:tcPr>
            <w:tcW w:w="4536" w:type="dxa"/>
            <w:tcBorders>
              <w:top w:val="single" w:sz="4" w:space="0" w:color="000000"/>
              <w:left w:val="single" w:sz="4" w:space="0" w:color="000000"/>
              <w:bottom w:val="single" w:sz="4" w:space="0" w:color="000000"/>
              <w:right w:val="single" w:sz="4" w:space="0" w:color="000000"/>
            </w:tcBorders>
            <w:shd w:color="auto" w:fill="auto" w:val="clear"/>
          </w:tcPr>
          <w:p>
            <w:pPr>
              <w:pStyle w:val="NormalWeb"/>
              <w:widowControl w:val="false"/>
              <w:shd w:val="clear" w:color="auto" w:fill="FFFFFF"/>
              <w:spacing w:before="0" w:after="280"/>
              <w:rPr/>
            </w:pPr>
            <w:r>
              <w:rPr/>
              <w:t>2) Осуществление профилактического визита в отношении контролируемых лиц, определенных приложением № 2</w:t>
            </w:r>
          </w:p>
          <w:p>
            <w:pPr>
              <w:pStyle w:val="NormalWeb"/>
              <w:widowControl w:val="false"/>
              <w:shd w:val="clear" w:color="auto" w:fill="FFFFFF"/>
              <w:spacing w:before="280" w:after="0"/>
              <w:rPr/>
            </w:pPr>
            <w:r>
              <w:rPr/>
            </w:r>
          </w:p>
        </w:tc>
        <w:tc>
          <w:tcPr>
            <w:tcW w:w="227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Times New Roman" w:hAnsi="Times New Roman" w:cs="Times New Roman"/>
                <w:sz w:val="24"/>
                <w:szCs w:val="24"/>
              </w:rPr>
            </w:pPr>
            <w:r>
              <w:rPr>
                <w:rFonts w:cs="Times New Roman" w:ascii="Times New Roman" w:hAnsi="Times New Roman"/>
                <w:sz w:val="24"/>
                <w:szCs w:val="24"/>
              </w:rPr>
              <w:t>Должностные лица отдела ЖКХ, строительства и тарифно-ценовой политики Новозыбковской городской администрации Брянской области,</w:t>
            </w:r>
            <w:r>
              <w:rPr>
                <w:rFonts w:ascii="Times New Roman" w:hAnsi="Times New Roman"/>
                <w:sz w:val="24"/>
                <w:szCs w:val="24"/>
              </w:rPr>
              <w:t xml:space="preserve"> специалист отдела экономического развития Новозыбковской городской администрации</w:t>
            </w:r>
          </w:p>
          <w:p>
            <w:pPr>
              <w:pStyle w:val="Normal"/>
              <w:widowControl w:val="false"/>
              <w:spacing w:before="0" w:after="160"/>
              <w:rPr>
                <w:rFonts w:ascii="Times New Roman" w:hAnsi="Times New Roman" w:cs="Times New Roman"/>
                <w:sz w:val="24"/>
                <w:szCs w:val="24"/>
              </w:rPr>
            </w:pPr>
            <w:r>
              <w:rPr>
                <w:rFonts w:cs="Times New Roman" w:ascii="Times New Roman" w:hAnsi="Times New Roman"/>
                <w:sz w:val="24"/>
                <w:szCs w:val="24"/>
              </w:rPr>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olor w:val="000000"/>
                <w:sz w:val="24"/>
                <w:szCs w:val="24"/>
              </w:rPr>
            </w:pPr>
            <w:r>
              <w:rPr>
                <w:rFonts w:ascii="Times New Roman" w:hAnsi="Times New Roman"/>
                <w:color w:val="000000"/>
                <w:sz w:val="24"/>
                <w:szCs w:val="24"/>
              </w:rPr>
              <w:t>В течение года</w:t>
            </w:r>
          </w:p>
          <w:p>
            <w:pPr>
              <w:pStyle w:val="NoSpacing"/>
              <w:widowControl w:val="false"/>
              <w:rPr>
                <w:rFonts w:ascii="Times New Roman" w:hAnsi="Times New Roman"/>
                <w:color w:val="000000"/>
                <w:sz w:val="24"/>
                <w:szCs w:val="24"/>
              </w:rPr>
            </w:pPr>
            <w:r>
              <w:rPr>
                <w:rFonts w:ascii="Times New Roman" w:hAnsi="Times New Roman"/>
                <w:color w:val="000000"/>
                <w:sz w:val="24"/>
                <w:szCs w:val="24"/>
              </w:rPr>
            </w:r>
          </w:p>
        </w:tc>
      </w:tr>
      <w:tr>
        <w:trPr>
          <w:trHeight w:val="1833" w:hRule="atLeast"/>
        </w:trPr>
        <w:tc>
          <w:tcPr>
            <w:tcW w:w="498"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rFonts w:ascii="Times New Roman" w:hAnsi="Times New Roman"/>
                <w:sz w:val="24"/>
                <w:szCs w:val="24"/>
                <w:lang w:eastAsia="ar-SA"/>
              </w:rPr>
            </w:pPr>
            <w:r>
              <w:rPr>
                <w:rFonts w:ascii="Times New Roman" w:hAnsi="Times New Roman"/>
                <w:sz w:val="24"/>
                <w:szCs w:val="24"/>
                <w:lang w:eastAsia="ar-SA"/>
              </w:rPr>
            </w:r>
          </w:p>
        </w:tc>
        <w:tc>
          <w:tcPr>
            <w:tcW w:w="1592"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shd w:fill="FFFFFF" w:val="clear"/>
              </w:rPr>
            </w:pPr>
            <w:r>
              <w:rPr>
                <w:rFonts w:ascii="Times New Roman" w:hAnsi="Times New Roman"/>
                <w:sz w:val="24"/>
                <w:szCs w:val="24"/>
                <w:shd w:fill="FFFFFF" w:val="clear"/>
              </w:rPr>
            </w:r>
          </w:p>
        </w:tc>
        <w:tc>
          <w:tcPr>
            <w:tcW w:w="4536" w:type="dxa"/>
            <w:tcBorders>
              <w:top w:val="single" w:sz="4" w:space="0" w:color="000000"/>
              <w:left w:val="single" w:sz="4" w:space="0" w:color="000000"/>
              <w:bottom w:val="single" w:sz="4" w:space="0" w:color="000000"/>
              <w:right w:val="single" w:sz="4" w:space="0" w:color="000000"/>
            </w:tcBorders>
            <w:shd w:color="auto" w:fill="auto" w:val="clear"/>
          </w:tcPr>
          <w:p>
            <w:pPr>
              <w:pStyle w:val="NormalWeb"/>
              <w:widowControl w:val="false"/>
              <w:shd w:val="clear" w:color="auto" w:fill="FFFFFF"/>
              <w:spacing w:beforeAutospacing="0" w:before="0" w:afterAutospacing="0" w:after="0"/>
              <w:rPr/>
            </w:pPr>
            <w:r>
              <w:rPr/>
              <w:t>4) Осуществление профилактического визита по заявлению контролируемого лица о проведении в отношении него профилактического визита.</w:t>
            </w:r>
            <w:r>
              <w:rPr>
                <w:color w:val="FF0000"/>
              </w:rPr>
              <w:t xml:space="preserve"> </w:t>
            </w:r>
            <w:r>
              <w:rPr/>
              <w:t>Дата проведения контрольным органом согласовывается с контролируемым лицом не позднее 20 дней с момента принятия контрольным органом решения о проведении такого профилактического визита.</w:t>
            </w:r>
          </w:p>
          <w:p>
            <w:pPr>
              <w:pStyle w:val="NormalWeb"/>
              <w:widowControl w:val="false"/>
              <w:shd w:val="clear" w:color="auto" w:fill="FFFFFF"/>
              <w:spacing w:beforeAutospacing="0" w:before="0" w:afterAutospacing="0" w:after="0"/>
              <w:rPr/>
            </w:pPr>
            <w:r>
              <w:rPr/>
              <w:t>Информация о проведении профилактического визита дополняется в приложение № 2</w:t>
            </w:r>
          </w:p>
        </w:tc>
        <w:tc>
          <w:tcPr>
            <w:tcW w:w="2271"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t>Должностные лица отдела ЖКХ, строительства и тарифно-ценовой политики Новозыбковской городской администрации Брянской области, специалист отдела экономического развития Новозыбковской городской администрации</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olor w:val="000000"/>
                <w:sz w:val="24"/>
                <w:szCs w:val="24"/>
              </w:rPr>
            </w:pPr>
            <w:r>
              <w:rPr>
                <w:rFonts w:ascii="Times New Roman" w:hAnsi="Times New Roman"/>
                <w:color w:val="000000"/>
                <w:sz w:val="24"/>
                <w:szCs w:val="24"/>
              </w:rPr>
              <w:t>В течение года по мере поступления заявлений</w:t>
            </w:r>
          </w:p>
        </w:tc>
      </w:tr>
      <w:tr>
        <w:trPr/>
        <w:tc>
          <w:tcPr>
            <w:tcW w:w="498"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rFonts w:ascii="Times New Roman" w:hAnsi="Times New Roman"/>
                <w:sz w:val="24"/>
                <w:szCs w:val="24"/>
                <w:lang w:eastAsia="ar-SA"/>
              </w:rPr>
            </w:pPr>
            <w:r>
              <w:rPr>
                <w:rFonts w:ascii="Times New Roman" w:hAnsi="Times New Roman"/>
                <w:sz w:val="24"/>
                <w:szCs w:val="24"/>
                <w:lang w:eastAsia="ar-SA"/>
              </w:rPr>
            </w:r>
          </w:p>
          <w:p>
            <w:pPr>
              <w:pStyle w:val="NoSpacing"/>
              <w:widowControl w:val="false"/>
              <w:jc w:val="both"/>
              <w:rPr>
                <w:rFonts w:ascii="Times New Roman" w:hAnsi="Times New Roman"/>
                <w:sz w:val="24"/>
                <w:szCs w:val="24"/>
                <w:lang w:eastAsia="ar-SA"/>
              </w:rPr>
            </w:pPr>
            <w:r>
              <w:rPr>
                <w:rFonts w:ascii="Times New Roman" w:hAnsi="Times New Roman"/>
                <w:sz w:val="24"/>
                <w:szCs w:val="24"/>
                <w:lang w:eastAsia="ar-SA"/>
              </w:rPr>
            </w:r>
          </w:p>
          <w:p>
            <w:pPr>
              <w:pStyle w:val="NoSpacing"/>
              <w:widowControl w:val="false"/>
              <w:jc w:val="both"/>
              <w:rPr>
                <w:rFonts w:ascii="Times New Roman" w:hAnsi="Times New Roman"/>
                <w:sz w:val="24"/>
                <w:szCs w:val="24"/>
                <w:lang w:eastAsia="ar-SA"/>
              </w:rPr>
            </w:pPr>
            <w:r>
              <w:rPr>
                <w:rFonts w:ascii="Times New Roman" w:hAnsi="Times New Roman"/>
                <w:sz w:val="24"/>
                <w:szCs w:val="24"/>
                <w:lang w:eastAsia="ar-SA"/>
              </w:rPr>
            </w:r>
          </w:p>
          <w:p>
            <w:pPr>
              <w:pStyle w:val="NoSpacing"/>
              <w:widowControl w:val="false"/>
              <w:jc w:val="both"/>
              <w:rPr>
                <w:rFonts w:ascii="Times New Roman" w:hAnsi="Times New Roman"/>
                <w:sz w:val="24"/>
                <w:szCs w:val="24"/>
                <w:lang w:eastAsia="ar-SA"/>
              </w:rPr>
            </w:pPr>
            <w:r>
              <w:rPr>
                <w:rFonts w:ascii="Times New Roman" w:hAnsi="Times New Roman"/>
                <w:sz w:val="24"/>
                <w:szCs w:val="24"/>
                <w:lang w:eastAsia="ar-SA"/>
              </w:rPr>
              <w:t>4.</w:t>
            </w:r>
          </w:p>
        </w:tc>
        <w:tc>
          <w:tcPr>
            <w:tcW w:w="159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r>
          </w:p>
          <w:p>
            <w:pPr>
              <w:pStyle w:val="NoSpacing"/>
              <w:widowControl w:val="false"/>
              <w:rPr>
                <w:rFonts w:ascii="Times New Roman" w:hAnsi="Times New Roman"/>
                <w:sz w:val="24"/>
                <w:szCs w:val="24"/>
              </w:rPr>
            </w:pPr>
            <w:r>
              <w:rPr>
                <w:rFonts w:ascii="Times New Roman" w:hAnsi="Times New Roman"/>
                <w:sz w:val="24"/>
                <w:szCs w:val="24"/>
              </w:rPr>
            </w:r>
          </w:p>
          <w:p>
            <w:pPr>
              <w:pStyle w:val="NoSpacing"/>
              <w:widowControl w:val="false"/>
              <w:rPr>
                <w:rFonts w:ascii="Times New Roman" w:hAnsi="Times New Roman"/>
                <w:sz w:val="24"/>
                <w:szCs w:val="24"/>
              </w:rPr>
            </w:pPr>
            <w:r>
              <w:rPr>
                <w:rFonts w:ascii="Times New Roman" w:hAnsi="Times New Roman"/>
                <w:sz w:val="24"/>
                <w:szCs w:val="24"/>
              </w:rPr>
            </w:r>
          </w:p>
          <w:p>
            <w:pPr>
              <w:pStyle w:val="NoSpacing"/>
              <w:widowControl w:val="false"/>
              <w:rPr>
                <w:rFonts w:ascii="Times New Roman" w:hAnsi="Times New Roman"/>
                <w:sz w:val="24"/>
                <w:szCs w:val="24"/>
                <w:lang w:eastAsia="ar-SA"/>
              </w:rPr>
            </w:pPr>
            <w:r>
              <w:rPr>
                <w:rFonts w:ascii="Times New Roman" w:hAnsi="Times New Roman"/>
                <w:sz w:val="24"/>
                <w:szCs w:val="24"/>
              </w:rPr>
              <w:t>Объявление предостережения</w:t>
            </w:r>
          </w:p>
        </w:tc>
        <w:tc>
          <w:tcPr>
            <w:tcW w:w="4536"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r>
          </w:p>
          <w:p>
            <w:pPr>
              <w:pStyle w:val="NoSpacing"/>
              <w:widowControl w:val="false"/>
              <w:rPr>
                <w:rFonts w:ascii="Times New Roman" w:hAnsi="Times New Roman"/>
                <w:sz w:val="24"/>
                <w:szCs w:val="24"/>
              </w:rPr>
            </w:pPr>
            <w:r>
              <w:rPr>
                <w:rFonts w:ascii="Times New Roman" w:hAnsi="Times New Roman"/>
                <w:sz w:val="24"/>
                <w:szCs w:val="24"/>
              </w:rPr>
            </w:r>
          </w:p>
          <w:p>
            <w:pPr>
              <w:pStyle w:val="NoSpacing"/>
              <w:widowControl w:val="false"/>
              <w:rPr>
                <w:rFonts w:ascii="Times New Roman" w:hAnsi="Times New Roman"/>
                <w:sz w:val="24"/>
                <w:szCs w:val="24"/>
              </w:rPr>
            </w:pPr>
            <w:r>
              <w:rPr>
                <w:rFonts w:ascii="Times New Roman" w:hAnsi="Times New Roman"/>
                <w:sz w:val="24"/>
                <w:szCs w:val="24"/>
              </w:rPr>
            </w:r>
          </w:p>
          <w:p>
            <w:pPr>
              <w:pStyle w:val="NoSpacing"/>
              <w:widowControl w:val="false"/>
              <w:rPr>
                <w:rFonts w:ascii="Times New Roman" w:hAnsi="Times New Roman"/>
                <w:sz w:val="24"/>
                <w:szCs w:val="24"/>
                <w:lang w:eastAsia="ar-SA"/>
              </w:rPr>
            </w:pPr>
            <w:r>
              <w:rPr>
                <w:rFonts w:ascii="Times New Roman" w:hAnsi="Times New Roman"/>
                <w:sz w:val="24"/>
                <w:szCs w:val="24"/>
              </w:rPr>
              <w:t>Объявление контролируемому лицу предостережения о недопустимости нарушения обязательных требований и предлагает принять меры по обеспечению соблюдения обязательных требований</w:t>
            </w:r>
          </w:p>
        </w:tc>
        <w:tc>
          <w:tcPr>
            <w:tcW w:w="2271"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r>
          </w:p>
          <w:p>
            <w:pPr>
              <w:pStyle w:val="NoSpacing"/>
              <w:widowControl w:val="false"/>
              <w:rPr>
                <w:rFonts w:ascii="Times New Roman" w:hAnsi="Times New Roman"/>
                <w:sz w:val="24"/>
                <w:szCs w:val="24"/>
              </w:rPr>
            </w:pPr>
            <w:r>
              <w:rPr>
                <w:rFonts w:ascii="Times New Roman" w:hAnsi="Times New Roman"/>
                <w:sz w:val="24"/>
                <w:szCs w:val="24"/>
              </w:rPr>
            </w:r>
          </w:p>
          <w:p>
            <w:pPr>
              <w:pStyle w:val="NoSpacing"/>
              <w:widowControl w:val="false"/>
              <w:rPr>
                <w:rFonts w:ascii="Times New Roman" w:hAnsi="Times New Roman"/>
                <w:sz w:val="24"/>
                <w:szCs w:val="24"/>
              </w:rPr>
            </w:pPr>
            <w:r>
              <w:rPr>
                <w:rFonts w:ascii="Times New Roman" w:hAnsi="Times New Roman"/>
                <w:sz w:val="24"/>
                <w:szCs w:val="24"/>
              </w:rPr>
            </w:r>
          </w:p>
          <w:p>
            <w:pPr>
              <w:pStyle w:val="NoSpacing"/>
              <w:widowControl w:val="false"/>
              <w:rPr>
                <w:rFonts w:ascii="Times New Roman" w:hAnsi="Times New Roman"/>
                <w:sz w:val="24"/>
                <w:szCs w:val="24"/>
                <w:lang w:eastAsia="ar-SA"/>
              </w:rPr>
            </w:pPr>
            <w:r>
              <w:rPr>
                <w:rFonts w:ascii="Times New Roman" w:hAnsi="Times New Roman"/>
                <w:sz w:val="24"/>
                <w:szCs w:val="24"/>
              </w:rPr>
              <w:t>Должностные лица отдела ЖКХ, строительства и тарифно-ценовой политики Новозыбковской городской администрации Брянской области, специалист отдела экономического развития Новозыбковской городской администрации</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r>
          </w:p>
          <w:p>
            <w:pPr>
              <w:pStyle w:val="NoSpacing"/>
              <w:widowControl w:val="false"/>
              <w:rPr>
                <w:rFonts w:ascii="Times New Roman" w:hAnsi="Times New Roman"/>
                <w:sz w:val="24"/>
                <w:szCs w:val="24"/>
              </w:rPr>
            </w:pPr>
            <w:r>
              <w:rPr>
                <w:rFonts w:ascii="Times New Roman" w:hAnsi="Times New Roman"/>
                <w:sz w:val="24"/>
                <w:szCs w:val="24"/>
              </w:rPr>
            </w:r>
          </w:p>
          <w:p>
            <w:pPr>
              <w:pStyle w:val="NoSpacing"/>
              <w:widowControl w:val="false"/>
              <w:rPr>
                <w:rFonts w:ascii="Times New Roman" w:hAnsi="Times New Roman"/>
                <w:sz w:val="24"/>
                <w:szCs w:val="24"/>
              </w:rPr>
            </w:pPr>
            <w:r>
              <w:rPr>
                <w:rFonts w:ascii="Times New Roman" w:hAnsi="Times New Roman"/>
                <w:sz w:val="24"/>
                <w:szCs w:val="24"/>
              </w:rPr>
            </w:r>
          </w:p>
          <w:p>
            <w:pPr>
              <w:pStyle w:val="NoSpacing"/>
              <w:widowControl w:val="false"/>
              <w:rPr>
                <w:rFonts w:ascii="Times New Roman" w:hAnsi="Times New Roman"/>
                <w:sz w:val="24"/>
                <w:szCs w:val="24"/>
                <w:lang w:eastAsia="ar-SA"/>
              </w:rPr>
            </w:pPr>
            <w:r>
              <w:rPr>
                <w:rFonts w:ascii="Times New Roman" w:hAnsi="Times New Roman"/>
                <w:sz w:val="24"/>
                <w:szCs w:val="24"/>
              </w:rPr>
              <w:t>В течение года, по мере поступления информации</w:t>
            </w:r>
          </w:p>
        </w:tc>
      </w:tr>
    </w:tbl>
    <w:p>
      <w:pPr>
        <w:pStyle w:val="Normal"/>
        <w:spacing w:lineRule="auto" w:line="240" w:before="0" w:after="0"/>
        <w:ind w:firstLine="709"/>
        <w:jc w:val="both"/>
        <w:rPr>
          <w:rFonts w:ascii="Times New Roman" w:hAnsi="Times New Roman" w:cs="Times New Roman"/>
          <w:b/>
          <w:bCs/>
          <w:sz w:val="24"/>
          <w:szCs w:val="24"/>
        </w:rPr>
      </w:pPr>
      <w:r>
        <w:rPr>
          <w:rFonts w:cs="Times New Roman" w:ascii="Times New Roman" w:hAnsi="Times New Roman"/>
          <w:b/>
          <w:bCs/>
          <w:sz w:val="24"/>
          <w:szCs w:val="24"/>
        </w:rPr>
      </w:r>
    </w:p>
    <w:p>
      <w:pPr>
        <w:pStyle w:val="Normal"/>
        <w:spacing w:lineRule="auto" w:line="240" w:before="0" w:after="0"/>
        <w:ind w:firstLine="709"/>
        <w:jc w:val="both"/>
        <w:rPr>
          <w:rFonts w:ascii="Times New Roman" w:hAnsi="Times New Roman" w:cs="Times New Roman"/>
          <w:b/>
          <w:bCs/>
          <w:sz w:val="24"/>
          <w:szCs w:val="24"/>
        </w:rPr>
      </w:pPr>
      <w:r>
        <w:rPr>
          <w:rFonts w:cs="Times New Roman" w:ascii="Times New Roman" w:hAnsi="Times New Roman"/>
          <w:b/>
          <w:bCs/>
          <w:sz w:val="24"/>
          <w:szCs w:val="24"/>
        </w:rPr>
      </w:r>
    </w:p>
    <w:p>
      <w:pPr>
        <w:pStyle w:val="Normal"/>
        <w:spacing w:lineRule="auto" w:line="240" w:before="0" w:after="0"/>
        <w:jc w:val="center"/>
        <w:rPr>
          <w:rFonts w:ascii="Times New Roman" w:hAnsi="Times New Roman" w:cs="Times New Roman"/>
          <w:b/>
          <w:bCs/>
        </w:rPr>
      </w:pPr>
      <w:r>
        <w:rPr>
          <w:rFonts w:cs="Times New Roman" w:ascii="Times New Roman" w:hAnsi="Times New Roman"/>
          <w:b/>
          <w:bCs/>
        </w:rPr>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Раздел 4. Показатели результативности и эффективности программы профилактики рисков причинения вреда</w:t>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r>
    </w:p>
    <w:p>
      <w:pPr>
        <w:pStyle w:val="Normal"/>
        <w:tabs>
          <w:tab w:val="clear" w:pos="708"/>
          <w:tab w:val="left" w:pos="898" w:leader="none"/>
        </w:tabs>
        <w:ind w:firstLine="709"/>
        <w:jc w:val="center"/>
        <w:rPr>
          <w:rFonts w:ascii="Times New Roman" w:hAnsi="Times New Roman" w:cs="Times New Roman"/>
          <w:i/>
          <w:i/>
          <w:sz w:val="24"/>
          <w:szCs w:val="24"/>
        </w:rPr>
      </w:pPr>
      <w:r>
        <w:rPr>
          <w:rFonts w:cs="Times New Roman" w:ascii="Times New Roman" w:hAnsi="Times New Roman"/>
          <w:i/>
          <w:sz w:val="24"/>
          <w:szCs w:val="24"/>
        </w:rPr>
        <w:t>Таблица 1. Отчетные показатели профилактических мероприятий</w:t>
      </w:r>
    </w:p>
    <w:p>
      <w:pPr>
        <w:pStyle w:val="Normal"/>
        <w:tabs>
          <w:tab w:val="clear" w:pos="708"/>
          <w:tab w:val="left" w:pos="898" w:leader="none"/>
        </w:tabs>
        <w:ind w:firstLine="709"/>
        <w:jc w:val="center"/>
        <w:rPr>
          <w:rFonts w:ascii="Times New Roman" w:hAnsi="Times New Roman" w:cs="Times New Roman"/>
          <w:i/>
          <w:i/>
          <w:sz w:val="24"/>
          <w:szCs w:val="24"/>
        </w:rPr>
      </w:pPr>
      <w:r>
        <w:rPr>
          <w:rFonts w:cs="Times New Roman" w:ascii="Times New Roman" w:hAnsi="Times New Roman"/>
          <w:i/>
          <w:sz w:val="24"/>
          <w:szCs w:val="24"/>
        </w:rPr>
        <w:t>за 2024 год (за 9 месяцев текущего года)</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r>
    </w:p>
    <w:tbl>
      <w:tblPr>
        <w:tblStyle w:val="a3"/>
        <w:tblW w:w="9752"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481"/>
        <w:gridCol w:w="2764"/>
        <w:gridCol w:w="6507"/>
      </w:tblGrid>
      <w:tr>
        <w:trPr/>
        <w:tc>
          <w:tcPr>
            <w:tcW w:w="481" w:type="dxa"/>
            <w:tcBorders/>
          </w:tcPr>
          <w:p>
            <w:pPr>
              <w:pStyle w:val="Normal"/>
              <w:widowControl w:val="false"/>
              <w:suppressAutoHyphens w:val="true"/>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w:t>
            </w:r>
          </w:p>
        </w:tc>
        <w:tc>
          <w:tcPr>
            <w:tcW w:w="2764" w:type="dxa"/>
            <w:tcBorders/>
          </w:tcPr>
          <w:p>
            <w:pPr>
              <w:pStyle w:val="Normal"/>
              <w:widowControl w:val="false"/>
              <w:suppressAutoHyphens w:val="true"/>
              <w:spacing w:lineRule="exact"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Вид</w:t>
            </w:r>
          </w:p>
          <w:p>
            <w:pPr>
              <w:pStyle w:val="Normal"/>
              <w:widowControl w:val="false"/>
              <w:suppressAutoHyphens w:val="true"/>
              <w:spacing w:lineRule="exact"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 xml:space="preserve">профилактического </w:t>
              <w:br/>
              <w:t>мероприятия</w:t>
            </w:r>
          </w:p>
        </w:tc>
        <w:tc>
          <w:tcPr>
            <w:tcW w:w="6507" w:type="dxa"/>
            <w:tcBorders/>
          </w:tcPr>
          <w:p>
            <w:pPr>
              <w:pStyle w:val="Normal"/>
              <w:widowControl w:val="false"/>
              <w:suppressAutoHyphens w:val="true"/>
              <w:spacing w:lineRule="exact"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Реализация</w:t>
            </w:r>
          </w:p>
          <w:p>
            <w:pPr>
              <w:pStyle w:val="Normal"/>
              <w:widowControl w:val="false"/>
              <w:suppressAutoHyphens w:val="true"/>
              <w:spacing w:lineRule="exact"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профилактического</w:t>
            </w:r>
          </w:p>
          <w:p>
            <w:pPr>
              <w:pStyle w:val="Normal"/>
              <w:widowControl w:val="false"/>
              <w:suppressAutoHyphens w:val="true"/>
              <w:spacing w:lineRule="exact"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мероприятия</w:t>
            </w:r>
          </w:p>
        </w:tc>
      </w:tr>
      <w:tr>
        <w:trPr>
          <w:trHeight w:val="1486" w:hRule="atLeast"/>
        </w:trPr>
        <w:tc>
          <w:tcPr>
            <w:tcW w:w="481" w:type="dxa"/>
            <w:vMerge w:val="restart"/>
            <w:tcBorders/>
          </w:tcPr>
          <w:p>
            <w:pPr>
              <w:pStyle w:val="Normal"/>
              <w:widowControl w:val="false"/>
              <w:suppressAutoHyphens w:val="true"/>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1.</w:t>
            </w:r>
          </w:p>
        </w:tc>
        <w:tc>
          <w:tcPr>
            <w:tcW w:w="2764" w:type="dxa"/>
            <w:vMerge w:val="restart"/>
            <w:tcBorders/>
          </w:tcPr>
          <w:p>
            <w:pPr>
              <w:pStyle w:val="Normal"/>
              <w:widowControl w:val="false"/>
              <w:suppressAutoHyphens w:val="true"/>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Информирование</w:t>
            </w:r>
          </w:p>
        </w:tc>
        <w:tc>
          <w:tcPr>
            <w:tcW w:w="6507" w:type="dxa"/>
            <w:tcBorders/>
          </w:tcPr>
          <w:p>
            <w:pPr>
              <w:pStyle w:val="Normal"/>
              <w:widowControl w:val="false"/>
              <w:suppressAutoHyphens w:val="true"/>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На официальном сайте Новозыбковской городской администрации в информационно-</w:t>
            </w:r>
          </w:p>
          <w:p>
            <w:pPr>
              <w:pStyle w:val="Normal"/>
              <w:widowControl w:val="false"/>
              <w:suppressAutoHyphens w:val="true"/>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телекоммуникационной сети Интернет (далее – сеть «Интернет») размещены сведения,</w:t>
            </w:r>
          </w:p>
          <w:p>
            <w:pPr>
              <w:pStyle w:val="Normal"/>
              <w:widowControl w:val="false"/>
              <w:suppressAutoHyphens w:val="true"/>
              <w:spacing w:lineRule="auto" w:line="240" w:before="0" w:after="0"/>
              <w:jc w:val="left"/>
              <w:rPr>
                <w:rFonts w:ascii="Times New Roman" w:hAnsi="Times New Roman" w:cs="Times New Roman"/>
                <w:color w:val="C00000"/>
                <w:sz w:val="24"/>
                <w:szCs w:val="24"/>
              </w:rPr>
            </w:pPr>
            <w:r>
              <w:rPr>
                <w:rFonts w:eastAsia="Calibri" w:cs="Times New Roman" w:ascii="Times New Roman" w:hAnsi="Times New Roman"/>
                <w:kern w:val="0"/>
                <w:sz w:val="24"/>
                <w:szCs w:val="24"/>
                <w:lang w:val="ru-RU" w:eastAsia="en-US" w:bidi="ar-SA"/>
              </w:rPr>
              <w:t xml:space="preserve">предусмотренные Программой профилактики </w:t>
              <w:br/>
              <w:t>на 2024 год</w:t>
            </w:r>
          </w:p>
        </w:tc>
      </w:tr>
      <w:tr>
        <w:trPr>
          <w:trHeight w:val="1242" w:hRule="atLeast"/>
        </w:trPr>
        <w:tc>
          <w:tcPr>
            <w:tcW w:w="481" w:type="dxa"/>
            <w:vMerge w:val="continue"/>
            <w:tcBorders/>
          </w:tcPr>
          <w:p>
            <w:pPr>
              <w:pStyle w:val="Normal"/>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tc>
        <w:tc>
          <w:tcPr>
            <w:tcW w:w="2764" w:type="dxa"/>
            <w:vMerge w:val="continue"/>
            <w:tcBorders/>
          </w:tcPr>
          <w:p>
            <w:pPr>
              <w:pStyle w:val="Normal"/>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tc>
        <w:tc>
          <w:tcPr>
            <w:tcW w:w="6507" w:type="dxa"/>
            <w:tcBorders/>
          </w:tcPr>
          <w:p>
            <w:pPr>
              <w:pStyle w:val="Normal"/>
              <w:widowControl w:val="false"/>
              <w:suppressAutoHyphens w:val="true"/>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В сети «Интернет» размещена информация, предусмотренная частью 3 статьи 46 Федерального закона от 31 июля 2020 г. № 248-ФЗ «О государственном контроле (надзоре) и муниципальном контроле в Российской Федерации»</w:t>
            </w:r>
          </w:p>
          <w:p>
            <w:pPr>
              <w:pStyle w:val="Normal"/>
              <w:widowControl w:val="false"/>
              <w:suppressAutoHyphens w:val="true"/>
              <w:spacing w:lineRule="auto" w:line="240" w:before="0" w:after="0"/>
              <w:jc w:val="left"/>
              <w:rPr>
                <w:rFonts w:ascii="Times New Roman" w:hAnsi="Times New Roman" w:cs="Times New Roman"/>
                <w:sz w:val="24"/>
                <w:szCs w:val="24"/>
              </w:rPr>
            </w:pPr>
            <w:r>
              <w:rPr>
                <w:rFonts w:cs="Times New Roman" w:ascii="Times New Roman" w:hAnsi="Times New Roman"/>
                <w:sz w:val="24"/>
                <w:szCs w:val="24"/>
              </w:rPr>
            </w:r>
          </w:p>
        </w:tc>
      </w:tr>
      <w:tr>
        <w:trPr>
          <w:trHeight w:val="1262" w:hRule="atLeast"/>
        </w:trPr>
        <w:tc>
          <w:tcPr>
            <w:tcW w:w="481" w:type="dxa"/>
            <w:tcBorders/>
          </w:tcPr>
          <w:p>
            <w:pPr>
              <w:pStyle w:val="Normal"/>
              <w:widowControl w:val="false"/>
              <w:suppressAutoHyphens w:val="true"/>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2.</w:t>
            </w:r>
          </w:p>
        </w:tc>
        <w:tc>
          <w:tcPr>
            <w:tcW w:w="2764" w:type="dxa"/>
            <w:tcBorders/>
          </w:tcPr>
          <w:p>
            <w:pPr>
              <w:pStyle w:val="Normal"/>
              <w:widowControl w:val="false"/>
              <w:suppressAutoHyphens w:val="true"/>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Консультирование</w:t>
            </w:r>
          </w:p>
        </w:tc>
        <w:tc>
          <w:tcPr>
            <w:tcW w:w="6507" w:type="dxa"/>
            <w:tcBorders/>
          </w:tcPr>
          <w:p>
            <w:pPr>
              <w:pStyle w:val="Normal"/>
              <w:widowControl w:val="false"/>
              <w:suppressAutoHyphens w:val="true"/>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Осуществлено 0 консультирований, в том числе:</w:t>
            </w:r>
          </w:p>
          <w:p>
            <w:pPr>
              <w:pStyle w:val="Normal"/>
              <w:widowControl w:val="false"/>
              <w:suppressAutoHyphens w:val="true"/>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 по телефону 0 консультирований;</w:t>
            </w:r>
          </w:p>
          <w:p>
            <w:pPr>
              <w:pStyle w:val="Normal"/>
              <w:widowControl w:val="false"/>
              <w:suppressAutoHyphens w:val="true"/>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 с использованием видео-конференц-связи 0 консультирований;</w:t>
            </w:r>
          </w:p>
          <w:p>
            <w:pPr>
              <w:pStyle w:val="Normal"/>
              <w:widowControl w:val="false"/>
              <w:suppressAutoHyphens w:val="true"/>
              <w:spacing w:lineRule="auto" w:line="240" w:before="0" w:after="0"/>
              <w:jc w:val="left"/>
              <w:rPr>
                <w:rFonts w:ascii="Times New Roman" w:hAnsi="Times New Roman" w:cs="Times New Roman"/>
                <w:sz w:val="24"/>
                <w:szCs w:val="24"/>
              </w:rPr>
            </w:pPr>
            <w:r>
              <w:rPr>
                <w:rFonts w:cs="Times New Roman" w:ascii="Times New Roman" w:hAnsi="Times New Roman"/>
                <w:sz w:val="24"/>
                <w:szCs w:val="24"/>
              </w:rPr>
            </w:r>
          </w:p>
        </w:tc>
      </w:tr>
      <w:tr>
        <w:trPr>
          <w:trHeight w:val="1262" w:hRule="atLeast"/>
        </w:trPr>
        <w:tc>
          <w:tcPr>
            <w:tcW w:w="481" w:type="dxa"/>
            <w:tcBorders/>
          </w:tcPr>
          <w:p>
            <w:pPr>
              <w:pStyle w:val="Normal"/>
              <w:widowControl w:val="false"/>
              <w:suppressAutoHyphens w:val="true"/>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3.</w:t>
            </w:r>
          </w:p>
        </w:tc>
        <w:tc>
          <w:tcPr>
            <w:tcW w:w="2764" w:type="dxa"/>
            <w:tcBorders/>
          </w:tcPr>
          <w:p>
            <w:pPr>
              <w:pStyle w:val="Normal"/>
              <w:widowControl w:val="false"/>
              <w:suppressAutoHyphens w:val="true"/>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Профилактический визит</w:t>
            </w:r>
          </w:p>
        </w:tc>
        <w:tc>
          <w:tcPr>
            <w:tcW w:w="6507" w:type="dxa"/>
            <w:tcBorders/>
          </w:tcPr>
          <w:p>
            <w:pPr>
              <w:pStyle w:val="Normal"/>
              <w:widowControl w:val="false"/>
              <w:suppressAutoHyphens w:val="true"/>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Проведен 0 профилактических визитов</w:t>
            </w:r>
          </w:p>
        </w:tc>
      </w:tr>
      <w:tr>
        <w:trPr>
          <w:trHeight w:val="109" w:hRule="atLeast"/>
        </w:trPr>
        <w:tc>
          <w:tcPr>
            <w:tcW w:w="481" w:type="dxa"/>
            <w:tcBorders/>
          </w:tcPr>
          <w:p>
            <w:pPr>
              <w:pStyle w:val="Normal"/>
              <w:widowControl w:val="false"/>
              <w:suppressAutoHyphens w:val="true"/>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4.</w:t>
            </w:r>
          </w:p>
        </w:tc>
        <w:tc>
          <w:tcPr>
            <w:tcW w:w="2764" w:type="dxa"/>
            <w:tcBorders/>
          </w:tcPr>
          <w:p>
            <w:pPr>
              <w:pStyle w:val="Normal"/>
              <w:widowControl w:val="false"/>
              <w:suppressAutoHyphens w:val="true"/>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Объявление предостережения</w:t>
            </w:r>
          </w:p>
        </w:tc>
        <w:tc>
          <w:tcPr>
            <w:tcW w:w="6507" w:type="dxa"/>
            <w:tcBorders/>
          </w:tcPr>
          <w:p>
            <w:pPr>
              <w:pStyle w:val="Normal"/>
              <w:widowControl w:val="false"/>
              <w:suppressAutoHyphens w:val="true"/>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Объявлено 0  предостережений</w:t>
            </w:r>
          </w:p>
          <w:p>
            <w:pPr>
              <w:pStyle w:val="Normal"/>
              <w:widowControl w:val="false"/>
              <w:suppressAutoHyphens w:val="true"/>
              <w:spacing w:lineRule="auto" w:line="240" w:before="0" w:after="0"/>
              <w:jc w:val="left"/>
              <w:rPr>
                <w:rFonts w:ascii="Times New Roman" w:hAnsi="Times New Roman" w:cs="Times New Roman"/>
                <w:sz w:val="24"/>
                <w:szCs w:val="24"/>
              </w:rPr>
            </w:pPr>
            <w:r>
              <w:rPr>
                <w:rFonts w:cs="Times New Roman" w:ascii="Times New Roman" w:hAnsi="Times New Roman"/>
                <w:sz w:val="24"/>
                <w:szCs w:val="24"/>
              </w:rPr>
            </w:r>
          </w:p>
        </w:tc>
      </w:tr>
    </w:tbl>
    <w:p>
      <w:pPr>
        <w:pStyle w:val="Normal"/>
        <w:tabs>
          <w:tab w:val="clear" w:pos="708"/>
          <w:tab w:val="left" w:pos="2977" w:leader="none"/>
        </w:tabs>
        <w:rPr>
          <w:rFonts w:ascii="Times New Roman" w:hAnsi="Times New Roman" w:eastAsia="Calibri" w:cs="Times New Roman"/>
          <w:i/>
          <w:i/>
          <w:sz w:val="24"/>
          <w:szCs w:val="24"/>
        </w:rPr>
      </w:pPr>
      <w:r>
        <w:rPr>
          <w:rFonts w:eastAsia="Calibri" w:cs="Times New Roman" w:ascii="Times New Roman" w:hAnsi="Times New Roman"/>
          <w:i/>
          <w:sz w:val="24"/>
          <w:szCs w:val="24"/>
        </w:rPr>
      </w:r>
    </w:p>
    <w:p>
      <w:pPr>
        <w:pStyle w:val="Normal"/>
        <w:tabs>
          <w:tab w:val="clear" w:pos="708"/>
          <w:tab w:val="left" w:pos="2977" w:leader="none"/>
        </w:tabs>
        <w:ind w:firstLine="567"/>
        <w:jc w:val="center"/>
        <w:rPr>
          <w:rFonts w:ascii="Times New Roman" w:hAnsi="Times New Roman" w:eastAsia="Calibri" w:cs="Times New Roman"/>
          <w:i/>
          <w:i/>
          <w:sz w:val="24"/>
          <w:szCs w:val="24"/>
        </w:rPr>
      </w:pPr>
      <w:r>
        <w:rPr>
          <w:rFonts w:eastAsia="Calibri" w:cs="Times New Roman" w:ascii="Times New Roman" w:hAnsi="Times New Roman"/>
          <w:i/>
          <w:sz w:val="24"/>
          <w:szCs w:val="24"/>
        </w:rPr>
        <w:t>Таблица 2</w:t>
      </w:r>
      <w:r>
        <w:rPr>
          <w:rFonts w:cs="Times New Roman" w:ascii="Times New Roman" w:hAnsi="Times New Roman"/>
          <w:i/>
          <w:sz w:val="24"/>
          <w:szCs w:val="24"/>
        </w:rPr>
        <w:t>. О</w:t>
      </w:r>
      <w:r>
        <w:rPr>
          <w:rFonts w:eastAsia="Calibri" w:cs="Times New Roman" w:ascii="Times New Roman" w:hAnsi="Times New Roman"/>
          <w:i/>
          <w:sz w:val="24"/>
          <w:szCs w:val="24"/>
        </w:rPr>
        <w:t>тчетные показатели результативности и</w:t>
      </w:r>
    </w:p>
    <w:p>
      <w:pPr>
        <w:pStyle w:val="Normal"/>
        <w:spacing w:lineRule="auto" w:line="240" w:before="0" w:after="0"/>
        <w:ind w:firstLine="709"/>
        <w:jc w:val="center"/>
        <w:rPr>
          <w:rFonts w:ascii="Times New Roman" w:hAnsi="Times New Roman" w:eastAsia="Calibri" w:cs="Times New Roman"/>
          <w:i/>
          <w:i/>
          <w:sz w:val="24"/>
          <w:szCs w:val="24"/>
        </w:rPr>
      </w:pPr>
      <w:r>
        <w:rPr>
          <w:rFonts w:eastAsia="Calibri" w:cs="Times New Roman" w:ascii="Times New Roman" w:hAnsi="Times New Roman"/>
          <w:i/>
          <w:sz w:val="24"/>
          <w:szCs w:val="24"/>
        </w:rPr>
        <w:t xml:space="preserve">эффективности Программы профилактики за 2024 год </w:t>
      </w:r>
    </w:p>
    <w:p>
      <w:pPr>
        <w:pStyle w:val="Normal"/>
        <w:spacing w:lineRule="auto" w:line="240" w:before="0" w:after="0"/>
        <w:ind w:firstLine="709"/>
        <w:jc w:val="center"/>
        <w:rPr>
          <w:rFonts w:ascii="Times New Roman" w:hAnsi="Times New Roman" w:cs="Times New Roman"/>
          <w:i/>
          <w:i/>
          <w:sz w:val="24"/>
          <w:szCs w:val="24"/>
        </w:rPr>
      </w:pPr>
      <w:r>
        <w:rPr>
          <w:rFonts w:eastAsia="Calibri" w:cs="Times New Roman" w:ascii="Times New Roman" w:hAnsi="Times New Roman"/>
          <w:i/>
          <w:sz w:val="24"/>
          <w:szCs w:val="24"/>
        </w:rPr>
        <w:t>(за 9 месяцев текущего года)</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r>
    </w:p>
    <w:tbl>
      <w:tblPr>
        <w:tblStyle w:val="1"/>
        <w:tblW w:w="9747"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77"/>
        <w:gridCol w:w="5484"/>
        <w:gridCol w:w="1987"/>
        <w:gridCol w:w="1698"/>
      </w:tblGrid>
      <w:tr>
        <w:trPr/>
        <w:tc>
          <w:tcPr>
            <w:tcW w:w="577" w:type="dxa"/>
            <w:tcBorders/>
          </w:tcPr>
          <w:p>
            <w:pPr>
              <w:pStyle w:val="Normal"/>
              <w:widowControl w:val="false"/>
              <w:suppressAutoHyphens w:val="true"/>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w:t>
            </w:r>
          </w:p>
          <w:p>
            <w:pPr>
              <w:pStyle w:val="Normal"/>
              <w:widowControl w:val="false"/>
              <w:suppressAutoHyphens w:val="true"/>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п/п</w:t>
            </w:r>
          </w:p>
        </w:tc>
        <w:tc>
          <w:tcPr>
            <w:tcW w:w="5484" w:type="dxa"/>
            <w:tcBorders/>
          </w:tcPr>
          <w:p>
            <w:pPr>
              <w:pStyle w:val="Normal"/>
              <w:widowControl w:val="false"/>
              <w:suppressAutoHyphens w:val="true"/>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Наименование показателя</w:t>
            </w:r>
          </w:p>
        </w:tc>
        <w:tc>
          <w:tcPr>
            <w:tcW w:w="1987" w:type="dxa"/>
            <w:tcBorders/>
          </w:tcPr>
          <w:p>
            <w:pPr>
              <w:pStyle w:val="Normal"/>
              <w:widowControl w:val="false"/>
              <w:suppressAutoHyphens w:val="true"/>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Величина</w:t>
            </w:r>
          </w:p>
        </w:tc>
        <w:tc>
          <w:tcPr>
            <w:tcW w:w="1698" w:type="dxa"/>
            <w:tcBorders/>
          </w:tcPr>
          <w:p>
            <w:pPr>
              <w:pStyle w:val="Normal"/>
              <w:widowControl w:val="false"/>
              <w:suppressAutoHyphens w:val="true"/>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Достижение значения показателя</w:t>
            </w:r>
          </w:p>
        </w:tc>
      </w:tr>
      <w:tr>
        <w:trPr/>
        <w:tc>
          <w:tcPr>
            <w:tcW w:w="577" w:type="dxa"/>
            <w:tcBorders/>
          </w:tcPr>
          <w:p>
            <w:pPr>
              <w:pStyle w:val="Normal"/>
              <w:widowControl w:val="false"/>
              <w:suppressAutoHyphens w:val="true"/>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1.</w:t>
            </w:r>
          </w:p>
        </w:tc>
        <w:tc>
          <w:tcPr>
            <w:tcW w:w="5484" w:type="dxa"/>
            <w:tcBorders/>
          </w:tcPr>
          <w:p>
            <w:pPr>
              <w:pStyle w:val="Normal"/>
              <w:widowControl w:val="false"/>
              <w:suppressAutoHyphens w:val="true"/>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Полнота информации, размещенной на сайте Новозыбковской городской администрации в соответствии с частью 3 статьи 46 Федерального закона от 31 июля 2020 года №248-ФЗ «О государственном контроле (надзоре) и муниципальном контроле в Российской Федерации»</w:t>
            </w:r>
          </w:p>
        </w:tc>
        <w:tc>
          <w:tcPr>
            <w:tcW w:w="1987" w:type="dxa"/>
            <w:tcBorders/>
          </w:tcPr>
          <w:p>
            <w:pPr>
              <w:pStyle w:val="Normal"/>
              <w:widowControl w:val="false"/>
              <w:suppressAutoHyphens w:val="true"/>
              <w:spacing w:lineRule="auto" w:line="240" w:before="0" w:after="0"/>
              <w:jc w:val="center"/>
              <w:rPr>
                <w:rFonts w:ascii="Times New Roman" w:hAnsi="Times New Roman" w:cs="Times New Roman"/>
                <w:sz w:val="24"/>
                <w:szCs w:val="24"/>
                <w:lang w:val="en-US"/>
              </w:rPr>
            </w:pPr>
            <w:r>
              <w:rPr>
                <w:rFonts w:eastAsia="Calibri" w:cs="Times New Roman" w:ascii="Times New Roman" w:hAnsi="Times New Roman"/>
                <w:kern w:val="0"/>
                <w:sz w:val="24"/>
                <w:szCs w:val="24"/>
                <w:lang w:val="ru-RU" w:eastAsia="en-US" w:bidi="ar-SA"/>
              </w:rPr>
              <w:t>100</w:t>
            </w:r>
            <w:r>
              <w:rPr>
                <w:rFonts w:eastAsia="Calibri" w:cs="Times New Roman" w:ascii="Times New Roman" w:hAnsi="Times New Roman"/>
                <w:kern w:val="0"/>
                <w:sz w:val="24"/>
                <w:szCs w:val="24"/>
                <w:lang w:val="en-US" w:eastAsia="en-US" w:bidi="ar-SA"/>
              </w:rPr>
              <w:t>%</w:t>
            </w:r>
          </w:p>
        </w:tc>
        <w:tc>
          <w:tcPr>
            <w:tcW w:w="1698" w:type="dxa"/>
            <w:tcBorders/>
          </w:tcPr>
          <w:p>
            <w:pPr>
              <w:pStyle w:val="Normal"/>
              <w:widowControl w:val="false"/>
              <w:suppressAutoHyphens w:val="true"/>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100%</w:t>
            </w:r>
          </w:p>
        </w:tc>
      </w:tr>
      <w:tr>
        <w:trPr/>
        <w:tc>
          <w:tcPr>
            <w:tcW w:w="577" w:type="dxa"/>
            <w:tcBorders/>
          </w:tcPr>
          <w:p>
            <w:pPr>
              <w:pStyle w:val="Normal"/>
              <w:widowControl w:val="false"/>
              <w:suppressAutoHyphens w:val="true"/>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2.</w:t>
            </w:r>
          </w:p>
        </w:tc>
        <w:tc>
          <w:tcPr>
            <w:tcW w:w="5484" w:type="dxa"/>
            <w:tcBorders/>
          </w:tcPr>
          <w:p>
            <w:pPr>
              <w:pStyle w:val="Normal"/>
              <w:widowControl w:val="false"/>
              <w:suppressAutoHyphens w:val="true"/>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Доля выданных предостережений по результатам рассмотрения обращений с  подтвердившимися сведениями о готовящихся нарушениях обязательных требований</w:t>
            </w:r>
          </w:p>
        </w:tc>
        <w:tc>
          <w:tcPr>
            <w:tcW w:w="1987" w:type="dxa"/>
            <w:tcBorders/>
          </w:tcPr>
          <w:p>
            <w:pPr>
              <w:pStyle w:val="Normal"/>
              <w:widowControl w:val="false"/>
              <w:suppressAutoHyphens w:val="true"/>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50% и более</w:t>
            </w:r>
          </w:p>
        </w:tc>
        <w:tc>
          <w:tcPr>
            <w:tcW w:w="1698" w:type="dxa"/>
            <w:tcBorders/>
          </w:tcPr>
          <w:p>
            <w:pPr>
              <w:pStyle w:val="Normal"/>
              <w:widowControl w:val="false"/>
              <w:suppressAutoHyphens w:val="true"/>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100%</w:t>
            </w:r>
          </w:p>
        </w:tc>
      </w:tr>
      <w:tr>
        <w:trPr/>
        <w:tc>
          <w:tcPr>
            <w:tcW w:w="577" w:type="dxa"/>
            <w:tcBorders/>
          </w:tcPr>
          <w:p>
            <w:pPr>
              <w:pStyle w:val="Normal"/>
              <w:widowControl w:val="false"/>
              <w:suppressAutoHyphens w:val="true"/>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3.</w:t>
            </w:r>
          </w:p>
        </w:tc>
        <w:tc>
          <w:tcPr>
            <w:tcW w:w="5484" w:type="dxa"/>
            <w:tcBorders/>
          </w:tcPr>
          <w:p>
            <w:pPr>
              <w:pStyle w:val="Normal"/>
              <w:widowControl w:val="false"/>
              <w:suppressAutoHyphens w:val="true"/>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Удовлетворенность контролируемых лиц консультированием контрольного (надзорного) органа</w:t>
            </w:r>
          </w:p>
        </w:tc>
        <w:tc>
          <w:tcPr>
            <w:tcW w:w="1987" w:type="dxa"/>
            <w:tcBorders/>
          </w:tcPr>
          <w:p>
            <w:pPr>
              <w:pStyle w:val="Normal"/>
              <w:widowControl w:val="false"/>
              <w:suppressAutoHyphens w:val="true"/>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100% от числа обратившихся</w:t>
            </w:r>
          </w:p>
        </w:tc>
        <w:tc>
          <w:tcPr>
            <w:tcW w:w="1698" w:type="dxa"/>
            <w:tcBorders/>
          </w:tcPr>
          <w:p>
            <w:pPr>
              <w:pStyle w:val="Normal"/>
              <w:widowControl w:val="false"/>
              <w:suppressAutoHyphens w:val="true"/>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100%</w:t>
            </w:r>
          </w:p>
        </w:tc>
      </w:tr>
      <w:tr>
        <w:trPr/>
        <w:tc>
          <w:tcPr>
            <w:tcW w:w="577" w:type="dxa"/>
            <w:tcBorders/>
          </w:tcPr>
          <w:p>
            <w:pPr>
              <w:pStyle w:val="Normal"/>
              <w:widowControl w:val="false"/>
              <w:suppressAutoHyphens w:val="true"/>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4.</w:t>
            </w:r>
          </w:p>
        </w:tc>
        <w:tc>
          <w:tcPr>
            <w:tcW w:w="5484" w:type="dxa"/>
            <w:tcBorders/>
          </w:tcPr>
          <w:p>
            <w:pPr>
              <w:pStyle w:val="Normal"/>
              <w:widowControl w:val="false"/>
              <w:suppressAutoHyphens w:val="true"/>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Количество проведенных профилактических мероприятий</w:t>
            </w:r>
          </w:p>
        </w:tc>
        <w:tc>
          <w:tcPr>
            <w:tcW w:w="1987" w:type="dxa"/>
            <w:tcBorders/>
          </w:tcPr>
          <w:p>
            <w:pPr>
              <w:pStyle w:val="Normal"/>
              <w:widowControl w:val="false"/>
              <w:suppressAutoHyphens w:val="true"/>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Не менее 1 мероприятия</w:t>
            </w:r>
          </w:p>
        </w:tc>
        <w:tc>
          <w:tcPr>
            <w:tcW w:w="1698" w:type="dxa"/>
            <w:tcBorders/>
          </w:tcPr>
          <w:p>
            <w:pPr>
              <w:pStyle w:val="Normal"/>
              <w:widowControl w:val="false"/>
              <w:suppressAutoHyphens w:val="true"/>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1000%</w:t>
            </w:r>
          </w:p>
        </w:tc>
      </w:tr>
    </w:tbl>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r>
    </w:p>
    <w:p>
      <w:pPr>
        <w:pStyle w:val="Normal"/>
        <w:tabs>
          <w:tab w:val="clear" w:pos="708"/>
          <w:tab w:val="left" w:pos="2977" w:leader="none"/>
        </w:tabs>
        <w:ind w:firstLine="567"/>
        <w:jc w:val="center"/>
        <w:rPr>
          <w:rFonts w:eastAsia="Calibri"/>
          <w:sz w:val="28"/>
          <w:szCs w:val="28"/>
        </w:rPr>
      </w:pPr>
      <w:r>
        <w:rPr>
          <w:rFonts w:eastAsia="Calibri"/>
          <w:sz w:val="28"/>
          <w:szCs w:val="28"/>
        </w:rPr>
      </w:r>
    </w:p>
    <w:p>
      <w:pPr>
        <w:pStyle w:val="Normal"/>
        <w:ind w:firstLine="708"/>
        <w:jc w:val="center"/>
        <w:rPr>
          <w:rFonts w:ascii="Times New Roman" w:hAnsi="Times New Roman" w:eastAsia="Calibri" w:cs="Times New Roman"/>
          <w:b/>
          <w:sz w:val="24"/>
          <w:szCs w:val="24"/>
        </w:rPr>
      </w:pPr>
      <w:r>
        <w:rPr>
          <w:rFonts w:eastAsia="Calibri" w:cs="Times New Roman" w:ascii="Times New Roman" w:hAnsi="Times New Roman"/>
          <w:b/>
          <w:sz w:val="24"/>
          <w:szCs w:val="24"/>
        </w:rPr>
        <w:t>Показатели результативности Программы профилактики на 2025 г. определяются в соответствии со следующей таблицей:</w:t>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r>
    </w:p>
    <w:tbl>
      <w:tblPr>
        <w:tblW w:w="9781" w:type="dxa"/>
        <w:jc w:val="left"/>
        <w:tblInd w:w="-80" w:type="dxa"/>
        <w:tblLayout w:type="fixed"/>
        <w:tblCellMar>
          <w:top w:w="102" w:type="dxa"/>
          <w:left w:w="62" w:type="dxa"/>
          <w:bottom w:w="102" w:type="dxa"/>
          <w:right w:w="62" w:type="dxa"/>
        </w:tblCellMar>
        <w:tblLook w:firstRow="1" w:noVBand="1" w:lastRow="0" w:firstColumn="1" w:lastColumn="0" w:noHBand="0" w:val="04a0"/>
      </w:tblPr>
      <w:tblGrid>
        <w:gridCol w:w="568"/>
        <w:gridCol w:w="5525"/>
        <w:gridCol w:w="3688"/>
      </w:tblGrid>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jc w:val="center"/>
              <w:rPr>
                <w:sz w:val="24"/>
                <w:szCs w:val="24"/>
              </w:rPr>
            </w:pPr>
            <w:r>
              <w:rPr>
                <w:sz w:val="24"/>
                <w:szCs w:val="24"/>
              </w:rPr>
              <w:t xml:space="preserve">№ </w:t>
            </w:r>
            <w:r>
              <w:rPr>
                <w:sz w:val="24"/>
                <w:szCs w:val="24"/>
              </w:rPr>
              <w:t>п/п</w:t>
            </w:r>
          </w:p>
        </w:tc>
        <w:tc>
          <w:tcPr>
            <w:tcW w:w="552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jc w:val="center"/>
              <w:rPr>
                <w:sz w:val="24"/>
                <w:szCs w:val="24"/>
              </w:rPr>
            </w:pPr>
            <w:r>
              <w:rPr>
                <w:sz w:val="24"/>
                <w:szCs w:val="24"/>
              </w:rPr>
              <w:t>Наименование показателя</w:t>
            </w:r>
          </w:p>
        </w:tc>
        <w:tc>
          <w:tcPr>
            <w:tcW w:w="368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jc w:val="center"/>
              <w:rPr>
                <w:sz w:val="24"/>
                <w:szCs w:val="24"/>
              </w:rPr>
            </w:pPr>
            <w:r>
              <w:rPr>
                <w:sz w:val="24"/>
                <w:szCs w:val="24"/>
              </w:rPr>
              <w:t>Единица измерения, свидетельствующая о максимальной результативности Программы профилактики</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jc w:val="center"/>
              <w:rPr>
                <w:sz w:val="24"/>
                <w:szCs w:val="24"/>
              </w:rPr>
            </w:pPr>
            <w:r>
              <w:rPr>
                <w:sz w:val="24"/>
                <w:szCs w:val="24"/>
              </w:rPr>
              <w:t>1.</w:t>
            </w:r>
          </w:p>
        </w:tc>
        <w:tc>
          <w:tcPr>
            <w:tcW w:w="552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rPr>
                <w:sz w:val="24"/>
                <w:szCs w:val="24"/>
              </w:rPr>
            </w:pPr>
            <w:r>
              <w:rPr>
                <w:sz w:val="24"/>
                <w:szCs w:val="24"/>
              </w:rPr>
              <w:t>Полнота информации, размещенной на официальном сайте Администрации в соответствии с частью 3 статьи 46 Федерального закона от 31 июля 2020 года № 248-ФЗ «О государственном контроле (надзоре) и муниципальном контроле в Российской Федерации»</w:t>
            </w:r>
          </w:p>
        </w:tc>
        <w:tc>
          <w:tcPr>
            <w:tcW w:w="368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jc w:val="center"/>
              <w:rPr>
                <w:sz w:val="24"/>
                <w:szCs w:val="24"/>
              </w:rPr>
            </w:pPr>
            <w:r>
              <w:rPr>
                <w:sz w:val="24"/>
                <w:szCs w:val="24"/>
              </w:rPr>
              <w:t>100 %</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jc w:val="center"/>
              <w:rPr>
                <w:sz w:val="24"/>
                <w:szCs w:val="24"/>
              </w:rPr>
            </w:pPr>
            <w:r>
              <w:rPr>
                <w:sz w:val="24"/>
                <w:szCs w:val="24"/>
              </w:rPr>
              <w:t>2.</w:t>
            </w:r>
          </w:p>
        </w:tc>
        <w:tc>
          <w:tcPr>
            <w:tcW w:w="552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rPr>
                <w:sz w:val="24"/>
                <w:szCs w:val="24"/>
              </w:rPr>
            </w:pPr>
            <w:r>
              <w:rPr>
                <w:color w:val="000000"/>
                <w:sz w:val="24"/>
                <w:szCs w:val="24"/>
              </w:rPr>
              <w:t>Количество размещений сведений по вопросам соблюдения обязательных требований в средствах массовой информации</w:t>
            </w:r>
          </w:p>
        </w:tc>
        <w:tc>
          <w:tcPr>
            <w:tcW w:w="368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jc w:val="center"/>
              <w:rPr>
                <w:sz w:val="24"/>
                <w:szCs w:val="24"/>
              </w:rPr>
            </w:pPr>
            <w:r>
              <w:rPr>
                <w:sz w:val="24"/>
                <w:szCs w:val="24"/>
              </w:rPr>
              <w:t>1</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jc w:val="center"/>
              <w:rPr>
                <w:sz w:val="24"/>
                <w:szCs w:val="24"/>
              </w:rPr>
            </w:pPr>
            <w:r>
              <w:rPr>
                <w:sz w:val="24"/>
                <w:szCs w:val="24"/>
              </w:rPr>
              <w:t>3.</w:t>
            </w:r>
          </w:p>
        </w:tc>
        <w:tc>
          <w:tcPr>
            <w:tcW w:w="552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rPr>
                <w:sz w:val="24"/>
                <w:szCs w:val="24"/>
              </w:rPr>
            </w:pPr>
            <w:r>
              <w:rPr>
                <w:sz w:val="24"/>
                <w:szCs w:val="24"/>
              </w:rPr>
              <w:t xml:space="preserve">Доля случаев объявления предостережений в общем количестве случаев </w:t>
            </w:r>
            <w:r>
              <w:rPr>
                <w:color w:val="000000"/>
                <w:sz w:val="24"/>
                <w:szCs w:val="24"/>
              </w:rPr>
              <w:t xml:space="preserve">выявления готовящихся нарушений обязательных требований </w:t>
            </w:r>
            <w:r>
              <w:rPr>
                <w:color w:val="000000"/>
                <w:sz w:val="24"/>
                <w:szCs w:val="24"/>
                <w:shd w:fill="FFFFFF" w:val="clear"/>
              </w:rPr>
              <w:t>или признаков нарушений обязательных требований</w:t>
            </w:r>
          </w:p>
        </w:tc>
        <w:tc>
          <w:tcPr>
            <w:tcW w:w="368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100 %</w:t>
            </w:r>
          </w:p>
          <w:p>
            <w:pPr>
              <w:pStyle w:val="Normal"/>
              <w:widowControl w:val="false"/>
              <w:spacing w:before="0" w:after="160"/>
              <w:jc w:val="center"/>
              <w:rPr>
                <w:sz w:val="24"/>
                <w:szCs w:val="24"/>
              </w:rPr>
            </w:pPr>
            <w:r>
              <w:rPr>
                <w:sz w:val="24"/>
                <w:szCs w:val="24"/>
              </w:rPr>
              <w:t xml:space="preserve">(если имелись случаи </w:t>
            </w:r>
            <w:r>
              <w:rPr>
                <w:color w:val="000000"/>
                <w:sz w:val="24"/>
                <w:szCs w:val="24"/>
              </w:rPr>
              <w:t xml:space="preserve">выявления готовящихся нарушений обязательных требований </w:t>
            </w:r>
            <w:r>
              <w:rPr>
                <w:color w:val="000000"/>
                <w:sz w:val="24"/>
                <w:szCs w:val="24"/>
                <w:shd w:fill="FFFFFF" w:val="clear"/>
              </w:rPr>
              <w:t>или признаков нарушений обязательных требований</w:t>
            </w:r>
            <w:r>
              <w:rPr>
                <w:sz w:val="24"/>
                <w:szCs w:val="24"/>
              </w:rPr>
              <w:t>)</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jc w:val="center"/>
              <w:rPr>
                <w:sz w:val="24"/>
                <w:szCs w:val="24"/>
              </w:rPr>
            </w:pPr>
            <w:r>
              <w:rPr>
                <w:sz w:val="24"/>
                <w:szCs w:val="24"/>
              </w:rPr>
              <w:t>4.</w:t>
            </w:r>
          </w:p>
        </w:tc>
        <w:tc>
          <w:tcPr>
            <w:tcW w:w="552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rPr>
                <w:sz w:val="24"/>
                <w:szCs w:val="24"/>
              </w:rPr>
            </w:pPr>
            <w:r>
              <w:rPr>
                <w:color w:val="000000"/>
                <w:sz w:val="24"/>
                <w:szCs w:val="24"/>
              </w:rPr>
              <w:t>Доля случаев нарушения сроков консультирования контролируемых лиц в письменной форме</w:t>
            </w:r>
          </w:p>
        </w:tc>
        <w:tc>
          <w:tcPr>
            <w:tcW w:w="368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jc w:val="center"/>
              <w:rPr>
                <w:sz w:val="24"/>
                <w:szCs w:val="24"/>
              </w:rPr>
            </w:pPr>
            <w:r>
              <w:rPr>
                <w:sz w:val="24"/>
                <w:szCs w:val="24"/>
              </w:rPr>
              <w:t>0%</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jc w:val="center"/>
              <w:rPr>
                <w:sz w:val="24"/>
                <w:szCs w:val="24"/>
              </w:rPr>
            </w:pPr>
            <w:r>
              <w:rPr>
                <w:sz w:val="24"/>
                <w:szCs w:val="24"/>
              </w:rPr>
              <w:t>5.</w:t>
            </w:r>
          </w:p>
        </w:tc>
        <w:tc>
          <w:tcPr>
            <w:tcW w:w="552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rPr>
                <w:color w:val="000000"/>
                <w:sz w:val="24"/>
                <w:szCs w:val="24"/>
              </w:rPr>
            </w:pPr>
            <w:r>
              <w:rPr>
                <w:color w:val="000000"/>
                <w:sz w:val="24"/>
                <w:szCs w:val="24"/>
              </w:rPr>
              <w:t>Доля случаев повторного обращения контролируемых лиц в письменной форме по тому же вопросу муниципального жилищного  контроля</w:t>
            </w:r>
          </w:p>
        </w:tc>
        <w:tc>
          <w:tcPr>
            <w:tcW w:w="368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jc w:val="center"/>
              <w:rPr>
                <w:sz w:val="24"/>
                <w:szCs w:val="24"/>
              </w:rPr>
            </w:pPr>
            <w:r>
              <w:rPr>
                <w:sz w:val="24"/>
                <w:szCs w:val="24"/>
              </w:rPr>
              <w:t>0%</w:t>
            </w:r>
          </w:p>
        </w:tc>
      </w:tr>
    </w:tbl>
    <w:p>
      <w:pPr>
        <w:pStyle w:val="Normal"/>
        <w:jc w:val="both"/>
        <w:rPr>
          <w:rFonts w:eastAsia="Calibri"/>
          <w:sz w:val="28"/>
          <w:szCs w:val="28"/>
        </w:rPr>
      </w:pPr>
      <w:r>
        <w:rPr>
          <w:rFonts w:eastAsia="Calibri"/>
          <w:sz w:val="28"/>
          <w:szCs w:val="28"/>
        </w:rPr>
      </w:r>
    </w:p>
    <w:p>
      <w:pPr>
        <w:pStyle w:val="Normal"/>
        <w:ind w:firstLine="708"/>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Реализация Программы осуществляется путем исполнения организационных и профилактических мероприятий в соответствии с программой профилактических мероприятий при осуществлении муниципального контроля на автомобильном транспорте, городском наземном электрическом транспорте и в дорожном хозяйстве в границах Новозыбковского городского округа на 2025 год. </w:t>
      </w:r>
    </w:p>
    <w:p>
      <w:pPr>
        <w:pStyle w:val="Normal"/>
        <w:ind w:firstLine="708"/>
        <w:jc w:val="both"/>
        <w:rPr>
          <w:rFonts w:eastAsia="Calibri"/>
          <w:sz w:val="28"/>
          <w:szCs w:val="28"/>
        </w:rPr>
      </w:pPr>
      <w:r>
        <w:rPr>
          <w:rFonts w:eastAsia="Calibri"/>
          <w:sz w:val="28"/>
          <w:szCs w:val="28"/>
        </w:rPr>
      </w:r>
    </w:p>
    <w:p>
      <w:pPr>
        <w:pStyle w:val="Normal"/>
        <w:ind w:right="1418" w:hanging="0"/>
        <w:rPr>
          <w:rFonts w:ascii="Times New Roman" w:hAnsi="Times New Roman" w:cs="Times New Roman"/>
          <w:sz w:val="28"/>
          <w:szCs w:val="28"/>
        </w:rPr>
      </w:pPr>
      <w:r>
        <w:rPr>
          <w:rFonts w:cs="Times New Roman" w:ascii="Times New Roman" w:hAnsi="Times New Roman"/>
          <w:sz w:val="28"/>
          <w:szCs w:val="28"/>
        </w:rPr>
      </w:r>
    </w:p>
    <w:p>
      <w:pPr>
        <w:pStyle w:val="Normal"/>
        <w:ind w:right="1418" w:hanging="0"/>
        <w:rPr>
          <w:rFonts w:ascii="Times New Roman" w:hAnsi="Times New Roman" w:cs="Times New Roman"/>
          <w:sz w:val="28"/>
          <w:szCs w:val="28"/>
        </w:rPr>
      </w:pPr>
      <w:r>
        <w:rPr>
          <w:rFonts w:cs="Times New Roman" w:ascii="Times New Roman" w:hAnsi="Times New Roman"/>
          <w:sz w:val="28"/>
          <w:szCs w:val="28"/>
        </w:rPr>
      </w:r>
    </w:p>
    <w:p>
      <w:pPr>
        <w:pStyle w:val="Normal"/>
        <w:tabs>
          <w:tab w:val="clear" w:pos="708"/>
          <w:tab w:val="left" w:pos="6885" w:leader="none"/>
        </w:tabs>
        <w:spacing w:before="0" w:after="0"/>
        <w:rPr>
          <w:rFonts w:ascii="Times New Roman" w:hAnsi="Times New Roman" w:cs="Times New Roman"/>
          <w:sz w:val="24"/>
          <w:szCs w:val="24"/>
        </w:rPr>
      </w:pPr>
      <w:r>
        <w:rPr>
          <w:rFonts w:cs="Times New Roman" w:ascii="Times New Roman" w:hAnsi="Times New Roman"/>
          <w:sz w:val="24"/>
          <w:szCs w:val="24"/>
        </w:rPr>
        <w:t xml:space="preserve">Врио начальника отдела юридической </w:t>
        <w:tab/>
        <w:t xml:space="preserve">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работы и социально - трудовых  отношений</w:t>
        <w:tab/>
        <w:t xml:space="preserve">                                                          И.П.Кабова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Главный инспектор юридической                                                                                                                             работы и социально трудовых  отношений </w:t>
        <w:tab/>
        <w:tab/>
        <w:tab/>
        <w:tab/>
        <w:tab/>
        <w:t xml:space="preserve">       Н.В.Ковалева</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
    </w:p>
    <w:sectPr>
      <w:type w:val="nextPage"/>
      <w:pgSz w:w="11906" w:h="16838"/>
      <w:pgMar w:left="1701" w:right="567" w:gutter="0" w:header="0" w:top="851"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Segoe UI">
    <w:charset w:val="cc"/>
    <w:family w:val="roman"/>
    <w:pitch w:val="variable"/>
  </w:font>
  <w:font w:name="Arial">
    <w:charset w:val="cc"/>
    <w:family w:val="roman"/>
    <w:pitch w:val="variable"/>
  </w:font>
  <w:font w:name="Liberation Sans">
    <w:altName w:val="Arial"/>
    <w:charset w:val="cc"/>
    <w:family w:val="roman"/>
    <w:pitch w:val="variable"/>
  </w:font>
  <w:font w:name="Times New Roman">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decimal"/>
      <w:lvlText w:val="%1."/>
      <w:lvlJc w:val="left"/>
      <w:pPr>
        <w:tabs>
          <w:tab w:val="num" w:pos="0"/>
        </w:tabs>
        <w:ind w:left="36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440" w:hanging="720"/>
      </w:pPr>
      <w:rPr/>
    </w:lvl>
    <w:lvl w:ilvl="3">
      <w:start w:val="1"/>
      <w:numFmt w:val="decimal"/>
      <w:lvlText w:val="%1.%2.%3.%4."/>
      <w:lvlJc w:val="left"/>
      <w:pPr>
        <w:tabs>
          <w:tab w:val="num" w:pos="0"/>
        </w:tabs>
        <w:ind w:left="1800" w:hanging="720"/>
      </w:pPr>
      <w:rPr/>
    </w:lvl>
    <w:lvl w:ilvl="4">
      <w:start w:val="1"/>
      <w:numFmt w:val="decimal"/>
      <w:lvlText w:val="%1.%2.%3.%4.%5."/>
      <w:lvlJc w:val="left"/>
      <w:pPr>
        <w:tabs>
          <w:tab w:val="num" w:pos="0"/>
        </w:tabs>
        <w:ind w:left="2520" w:hanging="1080"/>
      </w:pPr>
      <w:rPr/>
    </w:lvl>
    <w:lvl w:ilvl="5">
      <w:start w:val="1"/>
      <w:numFmt w:val="decimal"/>
      <w:lvlText w:val="%1.%2.%3.%4.%5.%6."/>
      <w:lvlJc w:val="left"/>
      <w:pPr>
        <w:tabs>
          <w:tab w:val="num" w:pos="0"/>
        </w:tabs>
        <w:ind w:left="2880" w:hanging="1080"/>
      </w:pPr>
      <w:rPr/>
    </w:lvl>
    <w:lvl w:ilvl="6">
      <w:start w:val="1"/>
      <w:numFmt w:val="decimal"/>
      <w:lvlText w:val="%1.%2.%3.%4.%5.%6.%7."/>
      <w:lvlJc w:val="left"/>
      <w:pPr>
        <w:tabs>
          <w:tab w:val="num" w:pos="0"/>
        </w:tabs>
        <w:ind w:left="3600" w:hanging="1440"/>
      </w:pPr>
      <w:rPr/>
    </w:lvl>
    <w:lvl w:ilvl="7">
      <w:start w:val="1"/>
      <w:numFmt w:val="decimal"/>
      <w:lvlText w:val="%1.%2.%3.%4.%5.%6.%7.%8."/>
      <w:lvlJc w:val="left"/>
      <w:pPr>
        <w:tabs>
          <w:tab w:val="num" w:pos="0"/>
        </w:tabs>
        <w:ind w:left="3960" w:hanging="1440"/>
      </w:pPr>
      <w:rPr/>
    </w:lvl>
    <w:lvl w:ilvl="8">
      <w:start w:val="1"/>
      <w:numFmt w:val="decimal"/>
      <w:lvlText w:val="%1.%2.%3.%4.%5.%6.%7.%8.%9."/>
      <w:lvlJc w:val="left"/>
      <w:pPr>
        <w:tabs>
          <w:tab w:val="num" w:pos="0"/>
        </w:tabs>
        <w:ind w:left="4680" w:hanging="1800"/>
      </w:pPr>
      <w:r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Hyperlink"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8e580b"/>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9" w:customStyle="1">
    <w:name w:val="Текст выноски Знак"/>
    <w:basedOn w:val="DefaultParagraphFont"/>
    <w:link w:val="BalloonText"/>
    <w:uiPriority w:val="99"/>
    <w:semiHidden/>
    <w:qFormat/>
    <w:rsid w:val="00a2247b"/>
    <w:rPr>
      <w:rFonts w:ascii="Segoe UI" w:hAnsi="Segoe UI" w:cs="Segoe UI"/>
      <w:sz w:val="18"/>
      <w:szCs w:val="18"/>
    </w:rPr>
  </w:style>
  <w:style w:type="character" w:styleId="Style10" w:customStyle="1">
    <w:name w:val="Верхний колонтитул Знак"/>
    <w:basedOn w:val="DefaultParagraphFont"/>
    <w:uiPriority w:val="99"/>
    <w:semiHidden/>
    <w:qFormat/>
    <w:rsid w:val="00dc571c"/>
    <w:rPr/>
  </w:style>
  <w:style w:type="character" w:styleId="Style11" w:customStyle="1">
    <w:name w:val="Нижний колонтитул Знак"/>
    <w:basedOn w:val="DefaultParagraphFont"/>
    <w:uiPriority w:val="99"/>
    <w:semiHidden/>
    <w:qFormat/>
    <w:rsid w:val="00dc571c"/>
    <w:rPr/>
  </w:style>
  <w:style w:type="character" w:styleId="ConsPlusNormal" w:customStyle="1">
    <w:name w:val="ConsPlusNormal Знак"/>
    <w:link w:val="ConsPlusNormal1"/>
    <w:qFormat/>
    <w:locked/>
    <w:rsid w:val="002c451a"/>
    <w:rPr>
      <w:rFonts w:ascii="Arial" w:hAnsi="Arial" w:eastAsia="Calibri" w:cs="Arial"/>
      <w:sz w:val="20"/>
      <w:szCs w:val="20"/>
    </w:rPr>
  </w:style>
  <w:style w:type="character" w:styleId="Hyperlink">
    <w:name w:val="Hyperlink"/>
    <w:unhideWhenUsed/>
    <w:rsid w:val="001545ce"/>
    <w:rPr>
      <w:color w:val="0000FF"/>
      <w:u w:val="single"/>
    </w:rPr>
  </w:style>
  <w:style w:type="paragraph" w:styleId="Style12">
    <w:name w:val="Заголовок"/>
    <w:basedOn w:val="Normal"/>
    <w:next w:val="BodyText"/>
    <w:qFormat/>
    <w:pPr>
      <w:keepNext w:val="true"/>
      <w:spacing w:before="240" w:after="120"/>
    </w:pPr>
    <w:rPr>
      <w:rFonts w:ascii="Liberation Sans" w:hAnsi="Liberation Sans" w:eastAsia="Microsoft YaHei" w:cs="Mang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Style13">
    <w:name w:val="Указатель"/>
    <w:basedOn w:val="Normal"/>
    <w:qFormat/>
    <w:pPr>
      <w:suppressLineNumbers/>
    </w:pPr>
    <w:rPr>
      <w:rFonts w:cs="Mangal"/>
    </w:rPr>
  </w:style>
  <w:style w:type="paragraph" w:styleId="BalloonText">
    <w:name w:val="Balloon Text"/>
    <w:basedOn w:val="Normal"/>
    <w:link w:val="Style9"/>
    <w:uiPriority w:val="99"/>
    <w:semiHidden/>
    <w:unhideWhenUsed/>
    <w:qFormat/>
    <w:rsid w:val="00a2247b"/>
    <w:pPr>
      <w:spacing w:lineRule="auto" w:line="240" w:before="0" w:after="0"/>
    </w:pPr>
    <w:rPr>
      <w:rFonts w:ascii="Segoe UI" w:hAnsi="Segoe UI" w:cs="Segoe UI"/>
      <w:sz w:val="18"/>
      <w:szCs w:val="18"/>
    </w:rPr>
  </w:style>
  <w:style w:type="paragraph" w:styleId="Style14">
    <w:name w:val="Колонтитул"/>
    <w:basedOn w:val="Normal"/>
    <w:qFormat/>
    <w:pPr/>
    <w:rPr/>
  </w:style>
  <w:style w:type="paragraph" w:styleId="Header">
    <w:name w:val="Header"/>
    <w:basedOn w:val="Normal"/>
    <w:link w:val="Style10"/>
    <w:uiPriority w:val="99"/>
    <w:semiHidden/>
    <w:unhideWhenUsed/>
    <w:rsid w:val="00dc571c"/>
    <w:pPr>
      <w:tabs>
        <w:tab w:val="clear" w:pos="708"/>
        <w:tab w:val="center" w:pos="4677" w:leader="none"/>
        <w:tab w:val="right" w:pos="9355" w:leader="none"/>
      </w:tabs>
      <w:spacing w:lineRule="auto" w:line="240" w:before="0" w:after="0"/>
    </w:pPr>
    <w:rPr/>
  </w:style>
  <w:style w:type="paragraph" w:styleId="Footer">
    <w:name w:val="Footer"/>
    <w:basedOn w:val="Normal"/>
    <w:link w:val="Style11"/>
    <w:uiPriority w:val="99"/>
    <w:semiHidden/>
    <w:unhideWhenUsed/>
    <w:rsid w:val="00dc571c"/>
    <w:pPr>
      <w:tabs>
        <w:tab w:val="clear" w:pos="708"/>
        <w:tab w:val="center" w:pos="4677" w:leader="none"/>
        <w:tab w:val="right" w:pos="9355" w:leader="none"/>
      </w:tabs>
      <w:spacing w:lineRule="auto" w:line="240" w:before="0" w:after="0"/>
    </w:pPr>
    <w:rPr/>
  </w:style>
  <w:style w:type="paragraph" w:styleId="ConsPlusNormal1" w:customStyle="1">
    <w:name w:val="ConsPlusNormal"/>
    <w:link w:val="ConsPlusNormal"/>
    <w:qFormat/>
    <w:rsid w:val="002c451a"/>
    <w:pPr>
      <w:widowControl/>
      <w:suppressAutoHyphens w:val="true"/>
      <w:bidi w:val="0"/>
      <w:spacing w:lineRule="auto" w:line="240" w:before="0" w:after="0"/>
      <w:jc w:val="left"/>
    </w:pPr>
    <w:rPr>
      <w:rFonts w:ascii="Arial" w:hAnsi="Arial" w:eastAsia="Calibri" w:cs="Arial" w:eastAsiaTheme="minorHAnsi"/>
      <w:color w:val="auto"/>
      <w:kern w:val="0"/>
      <w:sz w:val="20"/>
      <w:szCs w:val="20"/>
      <w:lang w:val="ru-RU" w:eastAsia="en-US" w:bidi="ar-SA"/>
    </w:rPr>
  </w:style>
  <w:style w:type="paragraph" w:styleId="ConsPlusTitle" w:customStyle="1">
    <w:name w:val="ConsPlusTitle"/>
    <w:qFormat/>
    <w:rsid w:val="002c451a"/>
    <w:pPr>
      <w:widowControl w:val="false"/>
      <w:suppressAutoHyphens w:val="true"/>
      <w:bidi w:val="0"/>
      <w:spacing w:lineRule="auto" w:line="240" w:before="0" w:after="0"/>
      <w:jc w:val="left"/>
    </w:pPr>
    <w:rPr>
      <w:rFonts w:ascii="Arial" w:hAnsi="Arial" w:eastAsia="Times New Roman" w:cs="Arial"/>
      <w:b/>
      <w:bCs/>
      <w:color w:val="auto"/>
      <w:kern w:val="0"/>
      <w:sz w:val="20"/>
      <w:szCs w:val="20"/>
      <w:lang w:val="ru-RU" w:eastAsia="ru-RU" w:bidi="ar-SA"/>
    </w:rPr>
  </w:style>
  <w:style w:type="paragraph" w:styleId="ListParagraph">
    <w:name w:val="List Paragraph"/>
    <w:basedOn w:val="Normal"/>
    <w:uiPriority w:val="34"/>
    <w:qFormat/>
    <w:rsid w:val="0069344c"/>
    <w:pPr>
      <w:spacing w:before="0" w:after="160"/>
      <w:ind w:left="720" w:hanging="0"/>
      <w:contextualSpacing/>
    </w:pPr>
    <w:rPr/>
  </w:style>
  <w:style w:type="paragraph" w:styleId="NoSpacing">
    <w:name w:val="No Spacing"/>
    <w:uiPriority w:val="1"/>
    <w:qFormat/>
    <w:rsid w:val="001545ce"/>
    <w:pPr>
      <w:widowControl/>
      <w:suppressAutoHyphens w:val="true"/>
      <w:bidi w:val="0"/>
      <w:spacing w:lineRule="auto" w:line="240" w:before="0" w:after="0"/>
      <w:jc w:val="left"/>
    </w:pPr>
    <w:rPr>
      <w:rFonts w:ascii="Calibri" w:hAnsi="Calibri" w:eastAsia="Calibri" w:cs="Times New Roman" w:asciiTheme="minorHAnsi" w:eastAsiaTheme="minorHAnsi" w:hAnsiTheme="minorHAnsi"/>
      <w:color w:val="auto"/>
      <w:kern w:val="0"/>
      <w:sz w:val="22"/>
      <w:szCs w:val="22"/>
      <w:lang w:val="ru-RU" w:eastAsia="en-US" w:bidi="ar-SA"/>
    </w:rPr>
  </w:style>
  <w:style w:type="paragraph" w:styleId="NormalWeb">
    <w:name w:val="Normal (Web)"/>
    <w:basedOn w:val="Normal"/>
    <w:uiPriority w:val="99"/>
    <w:unhideWhenUsed/>
    <w:qFormat/>
    <w:rsid w:val="001545ce"/>
    <w:pPr>
      <w:spacing w:lineRule="auto" w:line="240" w:beforeAutospacing="1" w:afterAutospacing="1"/>
    </w:pPr>
    <w:rPr>
      <w:rFonts w:ascii="Times New Roman" w:hAnsi="Times New Roman" w:eastAsia="Times New Roman" w:cs="Times New Roman"/>
      <w:sz w:val="24"/>
      <w:szCs w:val="24"/>
      <w:lang w:eastAsia="ru-RU"/>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3">
    <w:name w:val="Table Grid"/>
    <w:basedOn w:val="a1"/>
    <w:uiPriority w:val="59"/>
    <w:rsid w:val="00f6197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
    <w:name w:val="Сетка таблицы1"/>
    <w:basedOn w:val="a1"/>
    <w:uiPriority w:val="59"/>
    <w:rsid w:val="00b908c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login.consultant.ru/link/?req=doc&amp;base=LAW&amp;n=213122&amp;date=13.09.2023"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F729C2-9468-4C96-A622-433DE8DCA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527</TotalTime>
  <Application>AlterOffice/3.3.0.1$Windows_x86 LibreOffice_project/</Application>
  <AppVersion>15.0000</AppVersion>
  <Pages>15</Pages>
  <Words>3171</Words>
  <Characters>25057</Characters>
  <CharactersWithSpaces>29056</CharactersWithSpaces>
  <Paragraphs>220</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2023-09-20T09:21:00Z</dcterms:created>
  <dc:creator>НАТАЛЬЯ</dc:creator>
  <dc:description/>
  <dc:language>ru-RU</dc:language>
  <cp:lastModifiedBy>Кабинет_308</cp:lastModifiedBy>
  <cp:lastPrinted>2023-12-18T12:46:00Z</cp:lastPrinted>
  <dcterms:modified xsi:type="dcterms:W3CDTF">2024-10-07T13:24:33Z</dcterms:modified>
  <cp:revision>45</cp:revision>
  <dc:subject/>
  <dc:title/>
</cp:coreProperties>
</file>

<file path=docProps/custom.xml><?xml version="1.0" encoding="utf-8"?>
<Properties xmlns="http://schemas.openxmlformats.org/officeDocument/2006/custom-properties" xmlns:vt="http://schemas.openxmlformats.org/officeDocument/2006/docPropsVTypes"/>
</file>